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DD7A" w14:textId="3B55E742" w:rsidR="00DE359B" w:rsidRDefault="005F4383" w:rsidP="00E316DE">
      <w:pPr>
        <w:pStyle w:val="Heading1"/>
      </w:pPr>
      <w:r>
        <w:t>Active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1E0" w:firstRow="1" w:lastRow="1" w:firstColumn="1" w:lastColumn="1" w:noHBand="0" w:noVBand="0"/>
      </w:tblPr>
      <w:tblGrid>
        <w:gridCol w:w="4143"/>
        <w:gridCol w:w="3350"/>
        <w:gridCol w:w="2701"/>
      </w:tblGrid>
      <w:tr w:rsidR="005F4383" w:rsidRPr="002652C0" w14:paraId="25D7407E" w14:textId="77777777" w:rsidTr="004956CA">
        <w:trPr>
          <w:trHeight w:val="454"/>
        </w:trPr>
        <w:tc>
          <w:tcPr>
            <w:tcW w:w="2032" w:type="pct"/>
            <w:vAlign w:val="center"/>
          </w:tcPr>
          <w:p w14:paraId="6A666211" w14:textId="77777777" w:rsidR="005F4383" w:rsidRPr="002652C0" w:rsidRDefault="005F4383" w:rsidP="00D20648">
            <w:pPr>
              <w:autoSpaceDE w:val="0"/>
              <w:autoSpaceDN w:val="0"/>
              <w:adjustRightInd w:val="0"/>
              <w:jc w:val="center"/>
              <w:rPr>
                <w:rFonts w:cstheme="minorHAnsi"/>
                <w:b/>
                <w:bCs/>
                <w:lang w:eastAsia="en-GB"/>
              </w:rPr>
            </w:pPr>
            <w:r w:rsidRPr="002652C0">
              <w:rPr>
                <w:rFonts w:cstheme="minorHAnsi"/>
                <w:b/>
                <w:bCs/>
                <w:lang w:eastAsia="en-GB"/>
              </w:rPr>
              <w:t>Parameter</w:t>
            </w:r>
          </w:p>
        </w:tc>
        <w:tc>
          <w:tcPr>
            <w:tcW w:w="1643" w:type="pct"/>
            <w:vAlign w:val="center"/>
          </w:tcPr>
          <w:p w14:paraId="74CD0AA7" w14:textId="77777777" w:rsidR="005F4383" w:rsidRPr="002652C0" w:rsidRDefault="005F4383" w:rsidP="00D20648">
            <w:pPr>
              <w:autoSpaceDE w:val="0"/>
              <w:autoSpaceDN w:val="0"/>
              <w:adjustRightInd w:val="0"/>
              <w:jc w:val="center"/>
              <w:rPr>
                <w:rFonts w:cstheme="minorHAnsi"/>
                <w:b/>
                <w:bCs/>
                <w:lang w:eastAsia="en-GB"/>
              </w:rPr>
            </w:pPr>
            <w:r w:rsidRPr="002652C0">
              <w:rPr>
                <w:rFonts w:cstheme="minorHAnsi"/>
                <w:b/>
                <w:bCs/>
                <w:lang w:eastAsia="en-GB"/>
              </w:rPr>
              <w:t>Method</w:t>
            </w:r>
          </w:p>
        </w:tc>
        <w:tc>
          <w:tcPr>
            <w:tcW w:w="1325" w:type="pct"/>
            <w:vAlign w:val="center"/>
          </w:tcPr>
          <w:p w14:paraId="791E98C2" w14:textId="77777777" w:rsidR="005F4383" w:rsidRPr="002652C0" w:rsidRDefault="005F4383" w:rsidP="00D20648">
            <w:pPr>
              <w:autoSpaceDE w:val="0"/>
              <w:autoSpaceDN w:val="0"/>
              <w:adjustRightInd w:val="0"/>
              <w:jc w:val="center"/>
              <w:rPr>
                <w:rFonts w:cstheme="minorHAnsi"/>
                <w:b/>
                <w:bCs/>
                <w:lang w:eastAsia="en-GB"/>
              </w:rPr>
            </w:pPr>
            <w:r w:rsidRPr="002652C0">
              <w:rPr>
                <w:rFonts w:cstheme="minorHAnsi"/>
                <w:b/>
                <w:bCs/>
                <w:lang w:eastAsia="en-GB"/>
              </w:rPr>
              <w:t>Range</w:t>
            </w:r>
          </w:p>
        </w:tc>
      </w:tr>
      <w:tr w:rsidR="0095171E" w:rsidRPr="00E5264B" w14:paraId="35364FA2" w14:textId="77777777" w:rsidTr="004956CA">
        <w:trPr>
          <w:trHeight w:val="454"/>
        </w:trPr>
        <w:tc>
          <w:tcPr>
            <w:tcW w:w="2032" w:type="pct"/>
            <w:vAlign w:val="center"/>
          </w:tcPr>
          <w:p w14:paraId="406BB18C" w14:textId="3506D462" w:rsidR="0095171E" w:rsidRDefault="0095171E" w:rsidP="0095171E">
            <w:pPr>
              <w:autoSpaceDE w:val="0"/>
              <w:autoSpaceDN w:val="0"/>
              <w:adjustRightInd w:val="0"/>
              <w:rPr>
                <w:rFonts w:ascii="Calibri" w:hAnsi="Calibri" w:cs="Arial"/>
                <w:b/>
                <w:lang w:eastAsia="en-GB"/>
              </w:rPr>
            </w:pPr>
            <w:r w:rsidRPr="00671A21">
              <w:rPr>
                <w:rFonts w:ascii="Calibri" w:hAnsi="Calibri" w:cs="Arial"/>
                <w:b/>
                <w:lang w:eastAsia="en-GB"/>
              </w:rPr>
              <w:t>Dye strength</w:t>
            </w:r>
          </w:p>
          <w:p w14:paraId="61891D0C" w14:textId="7E871EEC" w:rsidR="0095171E" w:rsidRDefault="0095171E" w:rsidP="0095171E">
            <w:pPr>
              <w:autoSpaceDE w:val="0"/>
              <w:autoSpaceDN w:val="0"/>
              <w:adjustRightInd w:val="0"/>
              <w:rPr>
                <w:rFonts w:ascii="Calibri" w:hAnsi="Calibri" w:cs="Arial"/>
                <w:b/>
                <w:lang w:eastAsia="en-GB"/>
              </w:rPr>
            </w:pPr>
            <w:r>
              <w:rPr>
                <w:rFonts w:ascii="Calibri" w:hAnsi="Calibri" w:cs="Arial"/>
                <w:lang w:eastAsia="en-GB"/>
              </w:rPr>
              <w:t>Compared to standard</w:t>
            </w:r>
          </w:p>
        </w:tc>
        <w:tc>
          <w:tcPr>
            <w:tcW w:w="1643" w:type="pct"/>
            <w:vAlign w:val="center"/>
          </w:tcPr>
          <w:p w14:paraId="642C48BF" w14:textId="740118F8" w:rsidR="0095171E" w:rsidRDefault="0095171E" w:rsidP="0095171E">
            <w:pPr>
              <w:autoSpaceDE w:val="0"/>
              <w:autoSpaceDN w:val="0"/>
              <w:adjustRightInd w:val="0"/>
              <w:jc w:val="center"/>
              <w:rPr>
                <w:rFonts w:cstheme="minorHAnsi"/>
              </w:rPr>
            </w:pPr>
            <w:r>
              <w:rPr>
                <w:rFonts w:cstheme="minorHAnsi"/>
              </w:rPr>
              <w:t xml:space="preserve">John Hogg </w:t>
            </w:r>
            <w:r w:rsidRPr="000245CA">
              <w:rPr>
                <w:rFonts w:ascii="Calibri" w:hAnsi="Calibri" w:cs="Arial"/>
                <w:lang w:eastAsia="en-GB"/>
              </w:rPr>
              <w:t>proprietary</w:t>
            </w:r>
          </w:p>
        </w:tc>
        <w:tc>
          <w:tcPr>
            <w:tcW w:w="1325" w:type="pct"/>
            <w:vAlign w:val="center"/>
          </w:tcPr>
          <w:p w14:paraId="11EFBD1A" w14:textId="252EDB8A" w:rsidR="0095171E" w:rsidRDefault="0095171E" w:rsidP="0095171E">
            <w:pPr>
              <w:autoSpaceDE w:val="0"/>
              <w:autoSpaceDN w:val="0"/>
              <w:adjustRightInd w:val="0"/>
              <w:jc w:val="center"/>
              <w:rPr>
                <w:rFonts w:cstheme="minorHAnsi"/>
                <w:lang w:eastAsia="en-GB"/>
              </w:rPr>
            </w:pPr>
            <w:r>
              <w:rPr>
                <w:rFonts w:cstheme="minorHAnsi"/>
                <w:lang w:eastAsia="en-GB"/>
              </w:rPr>
              <w:t>95 – 105 %</w:t>
            </w:r>
          </w:p>
        </w:tc>
      </w:tr>
      <w:tr w:rsidR="00671A21" w:rsidRPr="00E5264B" w14:paraId="48FB935D" w14:textId="77777777" w:rsidTr="004956CA">
        <w:trPr>
          <w:trHeight w:val="454"/>
        </w:trPr>
        <w:tc>
          <w:tcPr>
            <w:tcW w:w="2032" w:type="pct"/>
            <w:vMerge w:val="restart"/>
            <w:vAlign w:val="center"/>
          </w:tcPr>
          <w:p w14:paraId="0B57FE13" w14:textId="5A67732C" w:rsidR="00671A21" w:rsidRPr="004956CA" w:rsidRDefault="00671A21" w:rsidP="0095171E">
            <w:pPr>
              <w:autoSpaceDE w:val="0"/>
              <w:autoSpaceDN w:val="0"/>
              <w:adjustRightInd w:val="0"/>
              <w:rPr>
                <w:rFonts w:ascii="Calibri" w:hAnsi="Calibri" w:cs="Arial"/>
                <w:b/>
                <w:lang w:eastAsia="en-GB"/>
              </w:rPr>
            </w:pPr>
            <w:r>
              <w:rPr>
                <w:rFonts w:ascii="Calibri" w:hAnsi="Calibri" w:cs="Arial"/>
                <w:b/>
                <w:lang w:eastAsia="en-GB"/>
              </w:rPr>
              <w:t xml:space="preserve">Wavelength of </w:t>
            </w:r>
            <w:r w:rsidR="00637575">
              <w:rPr>
                <w:rFonts w:ascii="Calibri" w:hAnsi="Calibri" w:cs="Arial"/>
                <w:b/>
                <w:lang w:eastAsia="en-GB"/>
              </w:rPr>
              <w:t>a</w:t>
            </w:r>
            <w:r>
              <w:rPr>
                <w:rFonts w:ascii="Calibri" w:hAnsi="Calibri" w:cs="Arial"/>
                <w:b/>
                <w:lang w:eastAsia="en-GB"/>
              </w:rPr>
              <w:t xml:space="preserve">bsorbance maxima </w:t>
            </w:r>
          </w:p>
        </w:tc>
        <w:tc>
          <w:tcPr>
            <w:tcW w:w="1643" w:type="pct"/>
            <w:vMerge w:val="restart"/>
            <w:vAlign w:val="center"/>
          </w:tcPr>
          <w:p w14:paraId="49BAD6F3" w14:textId="196ECE72" w:rsidR="00671A21" w:rsidRPr="004956CA" w:rsidRDefault="00671A21" w:rsidP="0095171E">
            <w:pPr>
              <w:autoSpaceDE w:val="0"/>
              <w:autoSpaceDN w:val="0"/>
              <w:adjustRightInd w:val="0"/>
              <w:jc w:val="center"/>
              <w:rPr>
                <w:rFonts w:cstheme="minorHAnsi"/>
              </w:rPr>
            </w:pPr>
            <w:r w:rsidRPr="004956CA">
              <w:rPr>
                <w:rFonts w:cstheme="minorHAnsi"/>
              </w:rPr>
              <w:t>Spectrophotometer</w:t>
            </w:r>
          </w:p>
        </w:tc>
        <w:tc>
          <w:tcPr>
            <w:tcW w:w="1325" w:type="pct"/>
            <w:vAlign w:val="center"/>
          </w:tcPr>
          <w:p w14:paraId="1FD4FD06" w14:textId="4049888C" w:rsidR="00671A21" w:rsidRPr="007455CC" w:rsidRDefault="00212B5B" w:rsidP="0095171E">
            <w:pPr>
              <w:autoSpaceDE w:val="0"/>
              <w:autoSpaceDN w:val="0"/>
              <w:adjustRightInd w:val="0"/>
              <w:jc w:val="center"/>
              <w:rPr>
                <w:rFonts w:cstheme="minorHAnsi"/>
                <w:lang w:eastAsia="en-GB"/>
              </w:rPr>
            </w:pPr>
            <w:r w:rsidRPr="007455CC">
              <w:rPr>
                <w:rFonts w:cstheme="minorHAnsi"/>
                <w:lang w:eastAsia="en-GB"/>
              </w:rPr>
              <w:t>647</w:t>
            </w:r>
            <w:r w:rsidR="00671A21" w:rsidRPr="007455CC">
              <w:rPr>
                <w:rFonts w:cstheme="minorHAnsi"/>
                <w:lang w:eastAsia="en-GB"/>
              </w:rPr>
              <w:t xml:space="preserve"> – </w:t>
            </w:r>
            <w:r w:rsidRPr="007455CC">
              <w:rPr>
                <w:rFonts w:cstheme="minorHAnsi"/>
                <w:lang w:eastAsia="en-GB"/>
              </w:rPr>
              <w:t>653</w:t>
            </w:r>
            <w:r w:rsidR="00671A21" w:rsidRPr="007455CC">
              <w:rPr>
                <w:rFonts w:cstheme="minorHAnsi"/>
                <w:lang w:eastAsia="en-GB"/>
              </w:rPr>
              <w:t xml:space="preserve"> nm</w:t>
            </w:r>
          </w:p>
        </w:tc>
      </w:tr>
      <w:tr w:rsidR="00671A21" w:rsidRPr="00E5264B" w14:paraId="78BDEB53" w14:textId="77777777" w:rsidTr="00A4246F">
        <w:trPr>
          <w:trHeight w:val="454"/>
        </w:trPr>
        <w:tc>
          <w:tcPr>
            <w:tcW w:w="2032" w:type="pct"/>
            <w:vMerge/>
            <w:vAlign w:val="center"/>
          </w:tcPr>
          <w:p w14:paraId="646B8299" w14:textId="64047B22" w:rsidR="00671A21" w:rsidRPr="004956CA" w:rsidRDefault="00671A21" w:rsidP="0095171E">
            <w:pPr>
              <w:autoSpaceDE w:val="0"/>
              <w:autoSpaceDN w:val="0"/>
              <w:adjustRightInd w:val="0"/>
              <w:rPr>
                <w:rFonts w:ascii="Calibri" w:hAnsi="Calibri" w:cs="Arial"/>
                <w:b/>
                <w:lang w:eastAsia="en-GB"/>
              </w:rPr>
            </w:pPr>
          </w:p>
        </w:tc>
        <w:tc>
          <w:tcPr>
            <w:tcW w:w="1643" w:type="pct"/>
            <w:vMerge/>
          </w:tcPr>
          <w:p w14:paraId="0B7E00FA" w14:textId="35E425F5" w:rsidR="00671A21" w:rsidRPr="004956CA" w:rsidRDefault="00671A21" w:rsidP="0095171E">
            <w:pPr>
              <w:autoSpaceDE w:val="0"/>
              <w:autoSpaceDN w:val="0"/>
              <w:adjustRightInd w:val="0"/>
              <w:jc w:val="center"/>
              <w:rPr>
                <w:rFonts w:cstheme="minorHAnsi"/>
              </w:rPr>
            </w:pPr>
          </w:p>
        </w:tc>
        <w:tc>
          <w:tcPr>
            <w:tcW w:w="1325" w:type="pct"/>
            <w:vAlign w:val="center"/>
          </w:tcPr>
          <w:p w14:paraId="7BF81EAE" w14:textId="6AC67670" w:rsidR="00671A21" w:rsidRPr="007455CC" w:rsidRDefault="00212B5B" w:rsidP="0095171E">
            <w:pPr>
              <w:autoSpaceDE w:val="0"/>
              <w:autoSpaceDN w:val="0"/>
              <w:adjustRightInd w:val="0"/>
              <w:jc w:val="center"/>
              <w:rPr>
                <w:rFonts w:cstheme="minorHAnsi"/>
                <w:lang w:eastAsia="en-GB"/>
              </w:rPr>
            </w:pPr>
            <w:r w:rsidRPr="007455CC">
              <w:rPr>
                <w:rFonts w:cstheme="minorHAnsi"/>
                <w:lang w:eastAsia="en-GB"/>
              </w:rPr>
              <w:t>554</w:t>
            </w:r>
            <w:r w:rsidR="00671A21" w:rsidRPr="007455CC">
              <w:rPr>
                <w:rFonts w:cstheme="minorHAnsi"/>
                <w:lang w:eastAsia="en-GB"/>
              </w:rPr>
              <w:t xml:space="preserve"> – </w:t>
            </w:r>
            <w:r w:rsidRPr="007455CC">
              <w:rPr>
                <w:rFonts w:cstheme="minorHAnsi"/>
                <w:lang w:eastAsia="en-GB"/>
              </w:rPr>
              <w:t>560</w:t>
            </w:r>
            <w:r w:rsidR="00671A21" w:rsidRPr="007455CC">
              <w:rPr>
                <w:rFonts w:cstheme="minorHAnsi"/>
                <w:lang w:eastAsia="en-GB"/>
              </w:rPr>
              <w:t xml:space="preserve"> nm</w:t>
            </w:r>
          </w:p>
        </w:tc>
      </w:tr>
      <w:tr w:rsidR="00671A21" w:rsidRPr="00E5264B" w14:paraId="128B5F0B" w14:textId="77777777" w:rsidTr="00A4246F">
        <w:trPr>
          <w:trHeight w:val="454"/>
        </w:trPr>
        <w:tc>
          <w:tcPr>
            <w:tcW w:w="2032" w:type="pct"/>
            <w:vMerge/>
            <w:vAlign w:val="center"/>
          </w:tcPr>
          <w:p w14:paraId="16572D25" w14:textId="1AF4A17E" w:rsidR="00671A21" w:rsidRPr="004956CA" w:rsidRDefault="00671A21" w:rsidP="0095171E">
            <w:pPr>
              <w:autoSpaceDE w:val="0"/>
              <w:autoSpaceDN w:val="0"/>
              <w:adjustRightInd w:val="0"/>
              <w:rPr>
                <w:rFonts w:ascii="Calibri" w:hAnsi="Calibri" w:cs="Arial"/>
                <w:b/>
                <w:lang w:eastAsia="en-GB"/>
              </w:rPr>
            </w:pPr>
          </w:p>
        </w:tc>
        <w:tc>
          <w:tcPr>
            <w:tcW w:w="1643" w:type="pct"/>
            <w:vMerge/>
          </w:tcPr>
          <w:p w14:paraId="296B92AD" w14:textId="0C90F0EA" w:rsidR="00671A21" w:rsidRPr="004956CA" w:rsidRDefault="00671A21" w:rsidP="0095171E">
            <w:pPr>
              <w:autoSpaceDE w:val="0"/>
              <w:autoSpaceDN w:val="0"/>
              <w:adjustRightInd w:val="0"/>
              <w:jc w:val="center"/>
              <w:rPr>
                <w:rFonts w:cstheme="minorHAnsi"/>
              </w:rPr>
            </w:pPr>
          </w:p>
        </w:tc>
        <w:tc>
          <w:tcPr>
            <w:tcW w:w="1325" w:type="pct"/>
            <w:vAlign w:val="center"/>
          </w:tcPr>
          <w:p w14:paraId="1EE6AD19" w14:textId="7E2F88F8" w:rsidR="00671A21" w:rsidRPr="007455CC" w:rsidRDefault="00212B5B" w:rsidP="0095171E">
            <w:pPr>
              <w:autoSpaceDE w:val="0"/>
              <w:autoSpaceDN w:val="0"/>
              <w:adjustRightInd w:val="0"/>
              <w:jc w:val="center"/>
              <w:rPr>
                <w:rFonts w:cstheme="minorHAnsi"/>
                <w:lang w:eastAsia="en-GB"/>
              </w:rPr>
            </w:pPr>
            <w:r w:rsidRPr="007455CC">
              <w:rPr>
                <w:rFonts w:cstheme="minorHAnsi"/>
                <w:lang w:eastAsia="en-GB"/>
              </w:rPr>
              <w:t>462</w:t>
            </w:r>
            <w:r w:rsidR="00671A21" w:rsidRPr="007455CC">
              <w:rPr>
                <w:rFonts w:cstheme="minorHAnsi"/>
                <w:lang w:eastAsia="en-GB"/>
              </w:rPr>
              <w:t xml:space="preserve"> – </w:t>
            </w:r>
            <w:r w:rsidRPr="007455CC">
              <w:rPr>
                <w:rFonts w:cstheme="minorHAnsi"/>
                <w:lang w:eastAsia="en-GB"/>
              </w:rPr>
              <w:t xml:space="preserve">472 </w:t>
            </w:r>
            <w:r w:rsidR="00671A21" w:rsidRPr="007455CC">
              <w:rPr>
                <w:rFonts w:cstheme="minorHAnsi"/>
                <w:lang w:eastAsia="en-GB"/>
              </w:rPr>
              <w:t>nm</w:t>
            </w:r>
          </w:p>
        </w:tc>
      </w:tr>
    </w:tbl>
    <w:p w14:paraId="491BC422" w14:textId="13C72C2E" w:rsidR="00450827" w:rsidRPr="00450827" w:rsidRDefault="000E032C" w:rsidP="00AF1FFC">
      <w:pPr>
        <w:pStyle w:val="Heading1"/>
      </w:pPr>
      <w:r>
        <w:t>Physical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1E0" w:firstRow="1" w:lastRow="1" w:firstColumn="1" w:lastColumn="1" w:noHBand="0" w:noVBand="0"/>
      </w:tblPr>
      <w:tblGrid>
        <w:gridCol w:w="4143"/>
        <w:gridCol w:w="3350"/>
        <w:gridCol w:w="2701"/>
      </w:tblGrid>
      <w:tr w:rsidR="00DE359B" w:rsidRPr="002652C0" w14:paraId="1406B75C" w14:textId="77777777" w:rsidTr="715613B0">
        <w:trPr>
          <w:trHeight w:val="454"/>
        </w:trPr>
        <w:tc>
          <w:tcPr>
            <w:tcW w:w="2032" w:type="pct"/>
            <w:vAlign w:val="center"/>
          </w:tcPr>
          <w:p w14:paraId="193F610C" w14:textId="77777777" w:rsidR="00DE359B" w:rsidRPr="002652C0" w:rsidRDefault="00DE359B">
            <w:pPr>
              <w:autoSpaceDE w:val="0"/>
              <w:autoSpaceDN w:val="0"/>
              <w:adjustRightInd w:val="0"/>
              <w:jc w:val="center"/>
              <w:rPr>
                <w:rFonts w:cstheme="minorHAnsi"/>
                <w:b/>
                <w:bCs/>
                <w:lang w:eastAsia="en-GB"/>
              </w:rPr>
            </w:pPr>
            <w:r w:rsidRPr="002652C0">
              <w:rPr>
                <w:rFonts w:cstheme="minorHAnsi"/>
                <w:b/>
                <w:bCs/>
                <w:lang w:eastAsia="en-GB"/>
              </w:rPr>
              <w:t>Parameter</w:t>
            </w:r>
          </w:p>
        </w:tc>
        <w:tc>
          <w:tcPr>
            <w:tcW w:w="1643" w:type="pct"/>
            <w:vAlign w:val="center"/>
          </w:tcPr>
          <w:p w14:paraId="2F7AC707" w14:textId="77777777" w:rsidR="00DE359B" w:rsidRPr="002652C0" w:rsidRDefault="00DE359B">
            <w:pPr>
              <w:autoSpaceDE w:val="0"/>
              <w:autoSpaceDN w:val="0"/>
              <w:adjustRightInd w:val="0"/>
              <w:jc w:val="center"/>
              <w:rPr>
                <w:rFonts w:cstheme="minorHAnsi"/>
                <w:b/>
                <w:bCs/>
                <w:lang w:eastAsia="en-GB"/>
              </w:rPr>
            </w:pPr>
            <w:r w:rsidRPr="002652C0">
              <w:rPr>
                <w:rFonts w:cstheme="minorHAnsi"/>
                <w:b/>
                <w:bCs/>
                <w:lang w:eastAsia="en-GB"/>
              </w:rPr>
              <w:t>Method</w:t>
            </w:r>
          </w:p>
        </w:tc>
        <w:tc>
          <w:tcPr>
            <w:tcW w:w="1326" w:type="pct"/>
            <w:vAlign w:val="center"/>
          </w:tcPr>
          <w:p w14:paraId="14321DD4" w14:textId="77777777" w:rsidR="00DE359B" w:rsidRPr="002652C0" w:rsidRDefault="00DE359B">
            <w:pPr>
              <w:autoSpaceDE w:val="0"/>
              <w:autoSpaceDN w:val="0"/>
              <w:adjustRightInd w:val="0"/>
              <w:jc w:val="center"/>
              <w:rPr>
                <w:rFonts w:cstheme="minorHAnsi"/>
                <w:b/>
                <w:bCs/>
                <w:lang w:eastAsia="en-GB"/>
              </w:rPr>
            </w:pPr>
            <w:r w:rsidRPr="002652C0">
              <w:rPr>
                <w:rFonts w:cstheme="minorHAnsi"/>
                <w:b/>
                <w:bCs/>
                <w:lang w:eastAsia="en-GB"/>
              </w:rPr>
              <w:t>Range</w:t>
            </w:r>
          </w:p>
        </w:tc>
      </w:tr>
      <w:tr w:rsidR="00DE359B" w:rsidRPr="002652C0" w14:paraId="5B502B83" w14:textId="77777777" w:rsidTr="715613B0">
        <w:trPr>
          <w:trHeight w:val="454"/>
        </w:trPr>
        <w:tc>
          <w:tcPr>
            <w:tcW w:w="2032" w:type="pct"/>
            <w:vAlign w:val="center"/>
          </w:tcPr>
          <w:p w14:paraId="60B4FD97" w14:textId="542C2091" w:rsidR="00DE359B" w:rsidRPr="002652C0" w:rsidRDefault="00DE359B">
            <w:pPr>
              <w:autoSpaceDE w:val="0"/>
              <w:autoSpaceDN w:val="0"/>
              <w:adjustRightInd w:val="0"/>
              <w:rPr>
                <w:rFonts w:cstheme="minorHAnsi"/>
                <w:b/>
                <w:bCs/>
                <w:lang w:eastAsia="en-GB"/>
              </w:rPr>
            </w:pPr>
            <w:r w:rsidRPr="002652C0">
              <w:rPr>
                <w:rFonts w:cstheme="minorHAnsi"/>
                <w:b/>
                <w:bCs/>
                <w:lang w:eastAsia="en-GB"/>
              </w:rPr>
              <w:t>Density at 15</w:t>
            </w:r>
            <w:r w:rsidR="00656CA9">
              <w:rPr>
                <w:rFonts w:cstheme="minorHAnsi"/>
                <w:b/>
                <w:bCs/>
                <w:lang w:eastAsia="en-GB"/>
              </w:rPr>
              <w:t xml:space="preserve"> </w:t>
            </w:r>
            <w:r w:rsidRPr="002652C0">
              <w:rPr>
                <w:rFonts w:cstheme="minorHAnsi"/>
                <w:b/>
                <w:bCs/>
                <w:lang w:eastAsia="en-GB"/>
              </w:rPr>
              <w:t>°</w:t>
            </w:r>
            <w:r>
              <w:rPr>
                <w:rFonts w:cstheme="minorHAnsi"/>
                <w:b/>
                <w:bCs/>
                <w:lang w:eastAsia="en-GB"/>
              </w:rPr>
              <w:t>C</w:t>
            </w:r>
          </w:p>
        </w:tc>
        <w:tc>
          <w:tcPr>
            <w:tcW w:w="1643" w:type="pct"/>
            <w:vAlign w:val="center"/>
          </w:tcPr>
          <w:p w14:paraId="1A717A66" w14:textId="77777777" w:rsidR="00DE359B" w:rsidRPr="002652C0" w:rsidRDefault="00DE359B">
            <w:pPr>
              <w:autoSpaceDE w:val="0"/>
              <w:autoSpaceDN w:val="0"/>
              <w:adjustRightInd w:val="0"/>
              <w:jc w:val="center"/>
              <w:rPr>
                <w:rFonts w:cstheme="minorHAnsi"/>
                <w:bCs/>
                <w:lang w:eastAsia="en-GB"/>
              </w:rPr>
            </w:pPr>
            <w:r>
              <w:rPr>
                <w:rFonts w:cstheme="minorHAnsi"/>
              </w:rPr>
              <w:t>ASTM</w:t>
            </w:r>
            <w:r w:rsidRPr="002652C0">
              <w:rPr>
                <w:rFonts w:cstheme="minorHAnsi"/>
              </w:rPr>
              <w:t xml:space="preserve"> </w:t>
            </w:r>
            <w:r>
              <w:rPr>
                <w:rFonts w:cstheme="minorHAnsi"/>
              </w:rPr>
              <w:t>D</w:t>
            </w:r>
            <w:r w:rsidRPr="002652C0">
              <w:rPr>
                <w:rFonts w:cstheme="minorHAnsi"/>
              </w:rPr>
              <w:t>7042 modified</w:t>
            </w:r>
          </w:p>
        </w:tc>
        <w:tc>
          <w:tcPr>
            <w:tcW w:w="1326" w:type="pct"/>
            <w:vAlign w:val="center"/>
          </w:tcPr>
          <w:p w14:paraId="0E716E27" w14:textId="06931F2D" w:rsidR="00DE359B" w:rsidRPr="002652C0" w:rsidRDefault="007455CC">
            <w:pPr>
              <w:autoSpaceDE w:val="0"/>
              <w:autoSpaceDN w:val="0"/>
              <w:adjustRightInd w:val="0"/>
              <w:jc w:val="center"/>
              <w:rPr>
                <w:rFonts w:cstheme="minorHAnsi"/>
                <w:bCs/>
                <w:lang w:eastAsia="en-GB"/>
              </w:rPr>
            </w:pPr>
            <w:r>
              <w:rPr>
                <w:rFonts w:cs="Arial"/>
                <w:bCs/>
                <w:lang w:eastAsia="en-GB"/>
              </w:rPr>
              <w:t>0.96</w:t>
            </w:r>
            <w:r w:rsidR="003A3CDB">
              <w:rPr>
                <w:rFonts w:cs="Arial"/>
                <w:bCs/>
                <w:lang w:eastAsia="en-GB"/>
              </w:rPr>
              <w:t xml:space="preserve"> – </w:t>
            </w:r>
            <w:r>
              <w:rPr>
                <w:rFonts w:cs="Arial"/>
                <w:bCs/>
                <w:lang w:eastAsia="en-GB"/>
              </w:rPr>
              <w:t>1.01</w:t>
            </w:r>
            <w:r w:rsidR="003A3CDB">
              <w:rPr>
                <w:rFonts w:cs="Arial"/>
                <w:bCs/>
                <w:lang w:eastAsia="en-GB"/>
              </w:rPr>
              <w:t xml:space="preserve"> k</w:t>
            </w:r>
            <w:r w:rsidR="003A3CDB" w:rsidRPr="008551CC">
              <w:rPr>
                <w:rFonts w:cs="Arial"/>
                <w:bCs/>
                <w:lang w:eastAsia="en-GB"/>
              </w:rPr>
              <w:t>g/L</w:t>
            </w:r>
          </w:p>
        </w:tc>
      </w:tr>
      <w:tr w:rsidR="005A4AA8" w:rsidRPr="002652C0" w14:paraId="59F03795" w14:textId="77777777" w:rsidTr="715613B0">
        <w:trPr>
          <w:trHeight w:val="454"/>
        </w:trPr>
        <w:tc>
          <w:tcPr>
            <w:tcW w:w="2032" w:type="pct"/>
            <w:vAlign w:val="center"/>
          </w:tcPr>
          <w:p w14:paraId="0BFAB6A5" w14:textId="55A28E74" w:rsidR="005A4AA8" w:rsidRPr="002652C0" w:rsidRDefault="005A4AA8" w:rsidP="005A4AA8">
            <w:pPr>
              <w:autoSpaceDE w:val="0"/>
              <w:autoSpaceDN w:val="0"/>
              <w:adjustRightInd w:val="0"/>
              <w:rPr>
                <w:rFonts w:cstheme="minorHAnsi"/>
                <w:b/>
                <w:bCs/>
                <w:lang w:eastAsia="en-GB"/>
              </w:rPr>
            </w:pPr>
            <w:r w:rsidRPr="002652C0">
              <w:rPr>
                <w:rFonts w:cstheme="minorHAnsi"/>
                <w:b/>
                <w:bCs/>
                <w:lang w:eastAsia="en-GB"/>
              </w:rPr>
              <w:t>Viscosity at 20</w:t>
            </w:r>
            <w:r>
              <w:rPr>
                <w:rFonts w:cstheme="minorHAnsi"/>
                <w:b/>
                <w:bCs/>
                <w:lang w:eastAsia="en-GB"/>
              </w:rPr>
              <w:t xml:space="preserve"> </w:t>
            </w:r>
            <w:r w:rsidRPr="002652C0">
              <w:rPr>
                <w:rFonts w:cstheme="minorHAnsi"/>
                <w:b/>
                <w:bCs/>
                <w:lang w:eastAsia="en-GB"/>
              </w:rPr>
              <w:t>°</w:t>
            </w:r>
            <w:r>
              <w:rPr>
                <w:rFonts w:cstheme="minorHAnsi"/>
                <w:b/>
                <w:bCs/>
                <w:lang w:eastAsia="en-GB"/>
              </w:rPr>
              <w:t>C</w:t>
            </w:r>
          </w:p>
        </w:tc>
        <w:tc>
          <w:tcPr>
            <w:tcW w:w="1643" w:type="pct"/>
            <w:vAlign w:val="center"/>
          </w:tcPr>
          <w:p w14:paraId="2C3D7DB5" w14:textId="583FD14E" w:rsidR="005A4AA8" w:rsidRPr="002652C0" w:rsidRDefault="005A4AA8" w:rsidP="005A4AA8">
            <w:pPr>
              <w:autoSpaceDE w:val="0"/>
              <w:autoSpaceDN w:val="0"/>
              <w:adjustRightInd w:val="0"/>
              <w:jc w:val="center"/>
              <w:rPr>
                <w:rFonts w:cstheme="minorHAnsi"/>
                <w:bCs/>
                <w:lang w:eastAsia="en-GB"/>
              </w:rPr>
            </w:pPr>
            <w:r>
              <w:rPr>
                <w:rFonts w:cstheme="minorHAnsi"/>
              </w:rPr>
              <w:t>ASTM</w:t>
            </w:r>
            <w:r w:rsidRPr="002652C0">
              <w:rPr>
                <w:rFonts w:cstheme="minorHAnsi"/>
              </w:rPr>
              <w:t xml:space="preserve"> </w:t>
            </w:r>
            <w:r>
              <w:rPr>
                <w:rFonts w:cstheme="minorHAnsi"/>
              </w:rPr>
              <w:t>D</w:t>
            </w:r>
            <w:r w:rsidRPr="002652C0">
              <w:rPr>
                <w:rFonts w:cstheme="minorHAnsi"/>
              </w:rPr>
              <w:t>7042 modified</w:t>
            </w:r>
          </w:p>
        </w:tc>
        <w:tc>
          <w:tcPr>
            <w:tcW w:w="1326" w:type="pct"/>
            <w:vAlign w:val="center"/>
          </w:tcPr>
          <w:p w14:paraId="4E0C5136" w14:textId="37115C7F" w:rsidR="005A4AA8" w:rsidRPr="002652C0" w:rsidRDefault="003A3CDB" w:rsidP="715613B0">
            <w:pPr>
              <w:autoSpaceDE w:val="0"/>
              <w:autoSpaceDN w:val="0"/>
              <w:adjustRightInd w:val="0"/>
              <w:jc w:val="center"/>
              <w:rPr>
                <w:rFonts w:cstheme="minorHAnsi"/>
                <w:bCs/>
                <w:lang w:eastAsia="en-GB"/>
              </w:rPr>
            </w:pPr>
            <w:r w:rsidRPr="715613B0">
              <w:rPr>
                <w:rFonts w:cs="Arial"/>
                <w:lang w:eastAsia="en-GB"/>
              </w:rPr>
              <w:t xml:space="preserve">&lt; </w:t>
            </w:r>
            <w:r w:rsidR="007455CC">
              <w:rPr>
                <w:rFonts w:cs="Arial"/>
                <w:lang w:eastAsia="en-GB"/>
              </w:rPr>
              <w:t>50</w:t>
            </w:r>
            <w:r w:rsidRPr="715613B0">
              <w:rPr>
                <w:rFonts w:cs="Arial"/>
                <w:lang w:eastAsia="en-GB"/>
              </w:rPr>
              <w:t xml:space="preserve"> </w:t>
            </w:r>
            <w:proofErr w:type="spellStart"/>
            <w:r w:rsidRPr="715613B0">
              <w:rPr>
                <w:rFonts w:cs="Arial"/>
                <w:lang w:eastAsia="en-GB"/>
              </w:rPr>
              <w:t>cP</w:t>
            </w:r>
            <w:proofErr w:type="spellEnd"/>
          </w:p>
        </w:tc>
      </w:tr>
      <w:tr w:rsidR="003C5B2D" w:rsidRPr="002652C0" w14:paraId="66BD91B7" w14:textId="77777777" w:rsidTr="715613B0">
        <w:trPr>
          <w:trHeight w:val="454"/>
        </w:trPr>
        <w:tc>
          <w:tcPr>
            <w:tcW w:w="2032" w:type="pct"/>
            <w:vAlign w:val="center"/>
          </w:tcPr>
          <w:p w14:paraId="5DBA97D2" w14:textId="4BA06CA9" w:rsidR="003C5B2D" w:rsidRPr="002652C0" w:rsidRDefault="003C5B2D" w:rsidP="003C5B2D">
            <w:pPr>
              <w:autoSpaceDE w:val="0"/>
              <w:autoSpaceDN w:val="0"/>
              <w:adjustRightInd w:val="0"/>
              <w:rPr>
                <w:rFonts w:cstheme="minorHAnsi"/>
                <w:b/>
                <w:bCs/>
                <w:lang w:eastAsia="en-GB"/>
              </w:rPr>
            </w:pPr>
            <w:r w:rsidRPr="002652C0">
              <w:rPr>
                <w:rFonts w:cstheme="minorHAnsi"/>
                <w:b/>
                <w:bCs/>
                <w:lang w:eastAsia="en-GB"/>
              </w:rPr>
              <w:t>Flash point</w:t>
            </w:r>
          </w:p>
        </w:tc>
        <w:tc>
          <w:tcPr>
            <w:tcW w:w="1643" w:type="pct"/>
            <w:vAlign w:val="center"/>
          </w:tcPr>
          <w:p w14:paraId="5A5F4687" w14:textId="64756DBA" w:rsidR="003C5B2D" w:rsidRDefault="003C5B2D" w:rsidP="003C5B2D">
            <w:pPr>
              <w:autoSpaceDE w:val="0"/>
              <w:autoSpaceDN w:val="0"/>
              <w:adjustRightInd w:val="0"/>
              <w:jc w:val="center"/>
              <w:rPr>
                <w:rFonts w:cstheme="minorHAnsi"/>
              </w:rPr>
            </w:pPr>
            <w:r w:rsidRPr="002652C0">
              <w:rPr>
                <w:rFonts w:cstheme="minorHAnsi"/>
                <w:bCs/>
                <w:lang w:eastAsia="en-GB"/>
              </w:rPr>
              <w:t>I</w:t>
            </w:r>
            <w:r>
              <w:rPr>
                <w:rFonts w:cstheme="minorHAnsi"/>
                <w:bCs/>
                <w:lang w:eastAsia="en-GB"/>
              </w:rPr>
              <w:t>P</w:t>
            </w:r>
            <w:r w:rsidRPr="002652C0">
              <w:rPr>
                <w:rFonts w:cstheme="minorHAnsi"/>
                <w:bCs/>
                <w:lang w:eastAsia="en-GB"/>
              </w:rPr>
              <w:t xml:space="preserve"> 34/ </w:t>
            </w:r>
            <w:r>
              <w:rPr>
                <w:rFonts w:cstheme="minorHAnsi"/>
                <w:bCs/>
                <w:lang w:eastAsia="en-GB"/>
              </w:rPr>
              <w:t>ASTM D</w:t>
            </w:r>
            <w:r w:rsidRPr="002652C0">
              <w:rPr>
                <w:rFonts w:cstheme="minorHAnsi"/>
                <w:bCs/>
                <w:lang w:eastAsia="en-GB"/>
              </w:rPr>
              <w:t>93</w:t>
            </w:r>
          </w:p>
        </w:tc>
        <w:tc>
          <w:tcPr>
            <w:tcW w:w="1326" w:type="pct"/>
            <w:vAlign w:val="center"/>
          </w:tcPr>
          <w:p w14:paraId="142190D2" w14:textId="2B69198F" w:rsidR="003C5B2D" w:rsidRPr="002652C0" w:rsidRDefault="003C5B2D" w:rsidP="003C5B2D">
            <w:pPr>
              <w:autoSpaceDE w:val="0"/>
              <w:autoSpaceDN w:val="0"/>
              <w:adjustRightInd w:val="0"/>
              <w:jc w:val="center"/>
              <w:rPr>
                <w:rFonts w:cstheme="minorHAnsi"/>
                <w:lang w:eastAsia="en-GB"/>
              </w:rPr>
            </w:pPr>
            <w:r w:rsidRPr="002652C0">
              <w:rPr>
                <w:rFonts w:cstheme="minorHAnsi"/>
                <w:lang w:eastAsia="en-GB"/>
              </w:rPr>
              <w:t>&gt;</w:t>
            </w:r>
            <w:r>
              <w:rPr>
                <w:rFonts w:cstheme="minorHAnsi"/>
                <w:lang w:eastAsia="en-GB"/>
              </w:rPr>
              <w:t xml:space="preserve"> </w:t>
            </w:r>
            <w:r w:rsidR="007455CC">
              <w:rPr>
                <w:rFonts w:cstheme="minorHAnsi"/>
                <w:lang w:eastAsia="en-GB"/>
              </w:rPr>
              <w:t>61</w:t>
            </w:r>
            <w:r>
              <w:rPr>
                <w:rFonts w:cstheme="minorHAnsi"/>
                <w:color w:val="37A09C" w:themeColor="accent6"/>
                <w:lang w:eastAsia="en-GB"/>
              </w:rPr>
              <w:t xml:space="preserve"> </w:t>
            </w:r>
            <w:r w:rsidRPr="002652C0">
              <w:rPr>
                <w:rFonts w:cstheme="minorHAnsi"/>
                <w:lang w:eastAsia="en-GB"/>
              </w:rPr>
              <w:t>°</w:t>
            </w:r>
            <w:r>
              <w:rPr>
                <w:rFonts w:cstheme="minorHAnsi"/>
                <w:lang w:eastAsia="en-GB"/>
              </w:rPr>
              <w:t>C</w:t>
            </w:r>
          </w:p>
        </w:tc>
      </w:tr>
      <w:tr w:rsidR="003C5B2D" w:rsidRPr="002652C0" w14:paraId="7CC546F8" w14:textId="77777777" w:rsidTr="715613B0">
        <w:trPr>
          <w:trHeight w:val="454"/>
        </w:trPr>
        <w:tc>
          <w:tcPr>
            <w:tcW w:w="2032" w:type="pct"/>
            <w:vAlign w:val="center"/>
          </w:tcPr>
          <w:p w14:paraId="385399EE" w14:textId="7B1C87A3" w:rsidR="003C5B2D" w:rsidRPr="002652C0" w:rsidRDefault="003C5B2D" w:rsidP="003C5B2D">
            <w:pPr>
              <w:autoSpaceDE w:val="0"/>
              <w:autoSpaceDN w:val="0"/>
              <w:adjustRightInd w:val="0"/>
              <w:rPr>
                <w:rFonts w:cstheme="minorHAnsi"/>
                <w:b/>
                <w:bCs/>
                <w:lang w:eastAsia="en-GB"/>
              </w:rPr>
            </w:pPr>
            <w:r w:rsidRPr="005ADD5F">
              <w:rPr>
                <w:b/>
                <w:bCs/>
                <w:lang w:eastAsia="en-GB"/>
              </w:rPr>
              <w:t>Water content</w:t>
            </w:r>
          </w:p>
        </w:tc>
        <w:tc>
          <w:tcPr>
            <w:tcW w:w="1643" w:type="pct"/>
            <w:vAlign w:val="center"/>
          </w:tcPr>
          <w:p w14:paraId="7A45024B" w14:textId="108C80D0" w:rsidR="003C5B2D" w:rsidRDefault="003C5B2D" w:rsidP="003C5B2D">
            <w:pPr>
              <w:autoSpaceDE w:val="0"/>
              <w:autoSpaceDN w:val="0"/>
              <w:adjustRightInd w:val="0"/>
              <w:jc w:val="center"/>
              <w:rPr>
                <w:rFonts w:cstheme="minorHAnsi"/>
              </w:rPr>
            </w:pPr>
            <w:r w:rsidRPr="005ADD5F">
              <w:rPr>
                <w:lang w:eastAsia="en-GB"/>
              </w:rPr>
              <w:t>Karl Fisher</w:t>
            </w:r>
          </w:p>
        </w:tc>
        <w:tc>
          <w:tcPr>
            <w:tcW w:w="1326" w:type="pct"/>
            <w:vAlign w:val="center"/>
          </w:tcPr>
          <w:p w14:paraId="4475F859" w14:textId="79366421" w:rsidR="003C5B2D" w:rsidRPr="002652C0" w:rsidRDefault="003C5B2D" w:rsidP="003C5B2D">
            <w:pPr>
              <w:autoSpaceDE w:val="0"/>
              <w:autoSpaceDN w:val="0"/>
              <w:adjustRightInd w:val="0"/>
              <w:jc w:val="center"/>
              <w:rPr>
                <w:rFonts w:cstheme="minorHAnsi"/>
                <w:lang w:eastAsia="en-GB"/>
              </w:rPr>
            </w:pPr>
            <w:r w:rsidRPr="005ADD5F">
              <w:t>≤ 0.2 %m/m</w:t>
            </w:r>
          </w:p>
        </w:tc>
      </w:tr>
      <w:tr w:rsidR="003C5B2D" w:rsidRPr="002652C0" w14:paraId="7FCA6513" w14:textId="77777777" w:rsidTr="715613B0">
        <w:trPr>
          <w:trHeight w:val="454"/>
        </w:trPr>
        <w:tc>
          <w:tcPr>
            <w:tcW w:w="2032" w:type="pct"/>
            <w:vAlign w:val="center"/>
          </w:tcPr>
          <w:p w14:paraId="5DF1EAD2" w14:textId="36AC4B83" w:rsidR="003C5B2D" w:rsidRPr="002652C0" w:rsidRDefault="003C5B2D" w:rsidP="003C5B2D">
            <w:pPr>
              <w:autoSpaceDE w:val="0"/>
              <w:autoSpaceDN w:val="0"/>
              <w:adjustRightInd w:val="0"/>
              <w:rPr>
                <w:rFonts w:cstheme="minorHAnsi"/>
                <w:b/>
                <w:bCs/>
                <w:lang w:eastAsia="en-GB"/>
              </w:rPr>
            </w:pPr>
            <w:r w:rsidRPr="005ADD5F">
              <w:rPr>
                <w:b/>
                <w:bCs/>
                <w:lang w:eastAsia="en-GB"/>
              </w:rPr>
              <w:t>Insoluble</w:t>
            </w:r>
            <w:r>
              <w:rPr>
                <w:b/>
                <w:bCs/>
                <w:lang w:eastAsia="en-GB"/>
              </w:rPr>
              <w:t xml:space="preserve"> content</w:t>
            </w:r>
          </w:p>
        </w:tc>
        <w:tc>
          <w:tcPr>
            <w:tcW w:w="1643" w:type="pct"/>
            <w:vAlign w:val="center"/>
          </w:tcPr>
          <w:p w14:paraId="24CA6EA8" w14:textId="0AD9AE72" w:rsidR="003C5B2D" w:rsidRDefault="003C5B2D" w:rsidP="003C5B2D">
            <w:pPr>
              <w:autoSpaceDE w:val="0"/>
              <w:autoSpaceDN w:val="0"/>
              <w:adjustRightInd w:val="0"/>
              <w:jc w:val="center"/>
              <w:rPr>
                <w:rFonts w:cstheme="minorHAnsi"/>
              </w:rPr>
            </w:pPr>
            <w:r w:rsidRPr="005ADD5F">
              <w:rPr>
                <w:color w:val="000000" w:themeColor="text1"/>
                <w:lang w:val="en-US"/>
              </w:rPr>
              <w:t>Derived from IP 216 / ASTM D2276</w:t>
            </w:r>
          </w:p>
        </w:tc>
        <w:tc>
          <w:tcPr>
            <w:tcW w:w="1326" w:type="pct"/>
            <w:vAlign w:val="center"/>
          </w:tcPr>
          <w:p w14:paraId="0503D9E2" w14:textId="5C05F453" w:rsidR="003C5B2D" w:rsidRPr="002652C0" w:rsidRDefault="003C5B2D" w:rsidP="003C5B2D">
            <w:pPr>
              <w:autoSpaceDE w:val="0"/>
              <w:autoSpaceDN w:val="0"/>
              <w:adjustRightInd w:val="0"/>
              <w:jc w:val="center"/>
              <w:rPr>
                <w:rFonts w:cstheme="minorHAnsi"/>
                <w:lang w:eastAsia="en-GB"/>
              </w:rPr>
            </w:pPr>
            <w:r w:rsidRPr="005ADD5F">
              <w:t>≤ 0.2 %m/m</w:t>
            </w:r>
          </w:p>
        </w:tc>
      </w:tr>
      <w:tr w:rsidR="003C5B2D" w:rsidRPr="002652C0" w14:paraId="4B244B1A" w14:textId="77777777" w:rsidTr="715613B0">
        <w:trPr>
          <w:trHeight w:val="454"/>
        </w:trPr>
        <w:tc>
          <w:tcPr>
            <w:tcW w:w="2032" w:type="pct"/>
            <w:vAlign w:val="center"/>
          </w:tcPr>
          <w:p w14:paraId="750DDB7E" w14:textId="3F94E4BD" w:rsidR="003C5B2D" w:rsidRPr="002652C0" w:rsidRDefault="003C5B2D" w:rsidP="003C5B2D">
            <w:pPr>
              <w:autoSpaceDE w:val="0"/>
              <w:autoSpaceDN w:val="0"/>
              <w:adjustRightInd w:val="0"/>
              <w:rPr>
                <w:rFonts w:cstheme="minorHAnsi"/>
                <w:b/>
                <w:bCs/>
                <w:lang w:eastAsia="en-GB"/>
              </w:rPr>
            </w:pPr>
            <w:r w:rsidRPr="002652C0">
              <w:rPr>
                <w:rFonts w:cstheme="minorHAnsi"/>
                <w:b/>
                <w:bCs/>
                <w:lang w:eastAsia="en-GB"/>
              </w:rPr>
              <w:t>Temperature of crystallisation</w:t>
            </w:r>
          </w:p>
        </w:tc>
        <w:tc>
          <w:tcPr>
            <w:tcW w:w="1643" w:type="pct"/>
            <w:vAlign w:val="center"/>
          </w:tcPr>
          <w:p w14:paraId="2FAA56FA" w14:textId="4E17FD6D" w:rsidR="003C5B2D" w:rsidRPr="002652C0" w:rsidRDefault="003C5B2D" w:rsidP="003C5B2D">
            <w:pPr>
              <w:autoSpaceDE w:val="0"/>
              <w:autoSpaceDN w:val="0"/>
              <w:adjustRightInd w:val="0"/>
              <w:jc w:val="center"/>
              <w:rPr>
                <w:rFonts w:cstheme="minorHAnsi"/>
                <w:bCs/>
                <w:lang w:eastAsia="en-GB"/>
              </w:rPr>
            </w:pPr>
            <w:r w:rsidRPr="002652C0">
              <w:rPr>
                <w:rFonts w:cstheme="minorHAnsi"/>
                <w:bCs/>
                <w:lang w:eastAsia="en-GB"/>
              </w:rPr>
              <w:t>-</w:t>
            </w:r>
          </w:p>
        </w:tc>
        <w:tc>
          <w:tcPr>
            <w:tcW w:w="1326" w:type="pct"/>
            <w:vAlign w:val="center"/>
          </w:tcPr>
          <w:p w14:paraId="34D7855F" w14:textId="1B9B03FD" w:rsidR="003C5B2D" w:rsidRPr="002652C0" w:rsidRDefault="003C5B2D" w:rsidP="003C5B2D">
            <w:pPr>
              <w:autoSpaceDE w:val="0"/>
              <w:autoSpaceDN w:val="0"/>
              <w:adjustRightInd w:val="0"/>
              <w:jc w:val="center"/>
              <w:rPr>
                <w:rFonts w:cstheme="minorHAnsi"/>
                <w:lang w:eastAsia="en-GB"/>
              </w:rPr>
            </w:pPr>
            <w:r w:rsidRPr="00F5452D">
              <w:rPr>
                <w:rFonts w:cstheme="minorHAnsi"/>
                <w:lang w:eastAsia="en-GB"/>
              </w:rPr>
              <w:t>&lt; -</w:t>
            </w:r>
            <w:r w:rsidR="007455CC">
              <w:rPr>
                <w:rFonts w:cstheme="minorHAnsi"/>
                <w:lang w:eastAsia="en-GB"/>
              </w:rPr>
              <w:t>25</w:t>
            </w:r>
            <w:r w:rsidRPr="00F5452D">
              <w:rPr>
                <w:rFonts w:cstheme="minorHAnsi"/>
                <w:lang w:eastAsia="en-GB"/>
              </w:rPr>
              <w:t xml:space="preserve"> °C</w:t>
            </w:r>
          </w:p>
        </w:tc>
      </w:tr>
    </w:tbl>
    <w:p w14:paraId="156B9CAA" w14:textId="77777777" w:rsidR="00DE359B" w:rsidRDefault="00DE359B" w:rsidP="00DE359B">
      <w:pPr>
        <w:pStyle w:val="Heading1"/>
      </w:pPr>
      <w:r w:rsidRPr="00626AB1">
        <w:t>Typical use and application</w:t>
      </w:r>
    </w:p>
    <w:p w14:paraId="532E6723" w14:textId="77777777" w:rsidR="003A3CDB" w:rsidRPr="00327358" w:rsidRDefault="003A3CDB" w:rsidP="003A3CDB">
      <w:pPr>
        <w:autoSpaceDE w:val="0"/>
        <w:autoSpaceDN w:val="0"/>
        <w:adjustRightInd w:val="0"/>
        <w:jc w:val="both"/>
        <w:rPr>
          <w:rFonts w:cs="Arial"/>
          <w:bCs/>
          <w:lang w:eastAsia="en-GB"/>
        </w:rPr>
      </w:pPr>
      <w:r w:rsidRPr="00327358">
        <w:rPr>
          <w:rFonts w:cs="Arial"/>
          <w:bCs/>
          <w:lang w:eastAsia="en-GB"/>
        </w:rPr>
        <w:t xml:space="preserve">This product can be used </w:t>
      </w:r>
      <w:r>
        <w:rPr>
          <w:rFonts w:cs="Arial"/>
          <w:bCs/>
          <w:lang w:eastAsia="en-GB"/>
        </w:rPr>
        <w:t xml:space="preserve">for the marking of </w:t>
      </w:r>
      <w:r w:rsidRPr="00327358">
        <w:rPr>
          <w:rFonts w:cs="Arial"/>
          <w:bCs/>
          <w:lang w:eastAsia="en-GB"/>
        </w:rPr>
        <w:t>petroleum products, mineral oils, aliphatic and aromatic hydrocarbon solvents and fuels.  The product can be readily pumped, poured or metered directly from the container.</w:t>
      </w:r>
    </w:p>
    <w:p w14:paraId="36379C6E" w14:textId="3643DA0B" w:rsidR="003A3CDB" w:rsidRPr="00327358" w:rsidRDefault="5A72F13A" w:rsidP="218EA065">
      <w:pPr>
        <w:autoSpaceDE w:val="0"/>
        <w:autoSpaceDN w:val="0"/>
        <w:adjustRightInd w:val="0"/>
        <w:jc w:val="both"/>
        <w:rPr>
          <w:rFonts w:cs="Arial"/>
          <w:lang w:eastAsia="en-GB"/>
        </w:rPr>
      </w:pPr>
      <w:r w:rsidRPr="218EA065">
        <w:rPr>
          <w:rFonts w:cs="Arial"/>
          <w:sz w:val="16"/>
          <w:szCs w:val="16"/>
          <w:lang w:eastAsia="en-GB"/>
        </w:rPr>
        <w:t xml:space="preserve"> </w:t>
      </w:r>
    </w:p>
    <w:p w14:paraId="0E790553" w14:textId="77777777" w:rsidR="003A3CDB" w:rsidRDefault="003A3CDB" w:rsidP="003A3CDB">
      <w:pPr>
        <w:autoSpaceDE w:val="0"/>
        <w:autoSpaceDN w:val="0"/>
        <w:adjustRightInd w:val="0"/>
        <w:jc w:val="both"/>
        <w:rPr>
          <w:rFonts w:cs="Arial"/>
          <w:bCs/>
          <w:lang w:eastAsia="en-GB"/>
        </w:rPr>
      </w:pPr>
      <w:r w:rsidRPr="00327358">
        <w:rPr>
          <w:rFonts w:cs="Arial"/>
          <w:bCs/>
          <w:lang w:eastAsia="en-GB"/>
        </w:rPr>
        <w:t>Due to the presence of aromatic solvent in this product, contact with natural rubber must be avoided.  For seals and joints the use of PTFE, Viton or similar synthetic products are recommended.</w:t>
      </w:r>
    </w:p>
    <w:p w14:paraId="6E82E6C9" w14:textId="77777777" w:rsidR="00DE359B" w:rsidRPr="00C34F39" w:rsidRDefault="00DE359B" w:rsidP="00DE359B">
      <w:pPr>
        <w:pStyle w:val="Heading1"/>
      </w:pPr>
      <w:r w:rsidRPr="00C34F39">
        <w:t>Typical addition rate</w:t>
      </w:r>
    </w:p>
    <w:p w14:paraId="290EE8A5" w14:textId="77777777" w:rsidR="00CE5B17" w:rsidRDefault="003A3CDB" w:rsidP="00CE5B17">
      <w:pPr>
        <w:autoSpaceDE w:val="0"/>
        <w:autoSpaceDN w:val="0"/>
        <w:adjustRightInd w:val="0"/>
        <w:jc w:val="both"/>
        <w:rPr>
          <w:rFonts w:cs="Arial"/>
        </w:rPr>
      </w:pPr>
      <w:r w:rsidRPr="007455CC">
        <w:rPr>
          <w:rFonts w:cs="Arial"/>
        </w:rPr>
        <w:t xml:space="preserve">This product is designed to be used at a dosage of </w:t>
      </w:r>
      <w:r w:rsidR="007455CC" w:rsidRPr="007455CC">
        <w:rPr>
          <w:rFonts w:cs="Arial"/>
        </w:rPr>
        <w:t>1</w:t>
      </w:r>
      <w:r w:rsidRPr="007455CC">
        <w:rPr>
          <w:rFonts w:cs="Arial"/>
        </w:rPr>
        <w:t xml:space="preserve"> kg to </w:t>
      </w:r>
      <w:r w:rsidR="007455CC" w:rsidRPr="007455CC">
        <w:rPr>
          <w:rFonts w:cs="Arial"/>
        </w:rPr>
        <w:t>50,000</w:t>
      </w:r>
      <w:r w:rsidRPr="007455CC">
        <w:rPr>
          <w:rFonts w:cs="Arial"/>
        </w:rPr>
        <w:t xml:space="preserve"> L, or </w:t>
      </w:r>
      <w:r w:rsidR="007455CC" w:rsidRPr="007455CC">
        <w:rPr>
          <w:rFonts w:cs="Arial"/>
        </w:rPr>
        <w:t>20</w:t>
      </w:r>
      <w:r w:rsidRPr="007455CC">
        <w:rPr>
          <w:rFonts w:cs="Arial"/>
        </w:rPr>
        <w:t> mg/L.  Actual dosage will depend upon</w:t>
      </w:r>
      <w:r w:rsidRPr="00327358">
        <w:rPr>
          <w:rFonts w:cs="Arial"/>
        </w:rPr>
        <w:t xml:space="preserve"> customer requirements.</w:t>
      </w:r>
    </w:p>
    <w:p w14:paraId="050D9C51" w14:textId="76334C9C" w:rsidR="00B46644" w:rsidRPr="00CE5B17" w:rsidRDefault="00B46644" w:rsidP="00CE5B17">
      <w:pPr>
        <w:pStyle w:val="Heading1"/>
        <w:rPr>
          <w:rFonts w:cs="Arial"/>
        </w:rPr>
      </w:pPr>
      <w:r>
        <w:lastRenderedPageBreak/>
        <w:t>H</w:t>
      </w:r>
      <w:r w:rsidRPr="00CF44EF">
        <w:t>ealth &amp; safety</w:t>
      </w:r>
    </w:p>
    <w:p w14:paraId="763292A2" w14:textId="1D069367" w:rsidR="00B46644" w:rsidRPr="00254B2B" w:rsidRDefault="007455CC" w:rsidP="00B46644">
      <w:pPr>
        <w:rPr>
          <w:lang w:eastAsia="en-GB"/>
        </w:rPr>
      </w:pPr>
      <w:proofErr w:type="spellStart"/>
      <w:r>
        <w:rPr>
          <w:lang w:eastAsia="en-GB"/>
        </w:rPr>
        <w:t>Dyeguard</w:t>
      </w:r>
      <w:proofErr w:type="spellEnd"/>
      <w:r w:rsidR="00B46644">
        <w:rPr>
          <w:lang w:eastAsia="en-GB"/>
        </w:rPr>
        <w:t>®</w:t>
      </w:r>
      <w:r>
        <w:rPr>
          <w:lang w:eastAsia="en-GB"/>
        </w:rPr>
        <w:t xml:space="preserve"> Black GNF</w:t>
      </w:r>
      <w:r w:rsidR="00B46644" w:rsidRPr="218EA065">
        <w:rPr>
          <w:lang w:eastAsia="en-GB"/>
        </w:rPr>
        <w:t xml:space="preserve"> </w:t>
      </w:r>
      <w:r w:rsidR="00B46644" w:rsidRPr="00254B2B">
        <w:rPr>
          <w:lang w:eastAsia="en-GB"/>
        </w:rPr>
        <w:t xml:space="preserve">has been specifically formulated to provide excellent solubility in functional fluids and be safer to handle without compromising on performance. These minimal handling hazards make </w:t>
      </w:r>
      <w:proofErr w:type="spellStart"/>
      <w:r>
        <w:rPr>
          <w:lang w:eastAsia="en-GB"/>
        </w:rPr>
        <w:t>Dyeguard</w:t>
      </w:r>
      <w:proofErr w:type="spellEnd"/>
      <w:r>
        <w:rPr>
          <w:lang w:eastAsia="en-GB"/>
        </w:rPr>
        <w:t>® Black GNF</w:t>
      </w:r>
      <w:r w:rsidR="00B46644" w:rsidRPr="218EA065">
        <w:rPr>
          <w:lang w:eastAsia="en-GB"/>
        </w:rPr>
        <w:t xml:space="preserve"> </w:t>
      </w:r>
      <w:r w:rsidR="00B46644" w:rsidRPr="00254B2B">
        <w:rPr>
          <w:lang w:eastAsia="en-GB"/>
        </w:rPr>
        <w:t xml:space="preserve">ideal for applications with high loading and user exposure. </w:t>
      </w:r>
    </w:p>
    <w:p w14:paraId="0D304E6F" w14:textId="77777777" w:rsidR="00B46644" w:rsidRPr="00254B2B" w:rsidRDefault="00B46644" w:rsidP="00B46644"/>
    <w:p w14:paraId="42716449" w14:textId="77777777" w:rsidR="006D1CCB" w:rsidRDefault="00B46644" w:rsidP="006D1CCB">
      <w:pPr>
        <w:rPr>
          <w:rFonts w:cstheme="minorHAnsi"/>
        </w:rPr>
      </w:pPr>
      <w:r w:rsidRPr="00254B2B">
        <w:t>Further</w:t>
      </w:r>
      <w:r>
        <w:t xml:space="preserve"> </w:t>
      </w:r>
      <w:r w:rsidRPr="002652C0">
        <w:rPr>
          <w:rFonts w:cstheme="minorHAnsi"/>
        </w:rPr>
        <w:t>Health and Safety data on this product is available and includes information on handling, storage etc.</w:t>
      </w:r>
    </w:p>
    <w:p w14:paraId="57412591" w14:textId="1FDB7DAF" w:rsidR="007534F0" w:rsidRPr="006D1CCB" w:rsidRDefault="007534F0" w:rsidP="006D1CCB">
      <w:pPr>
        <w:pStyle w:val="Heading1"/>
        <w:rPr>
          <w:rFonts w:cstheme="minorHAnsi"/>
          <w:lang w:eastAsia="en-GB"/>
        </w:rPr>
      </w:pPr>
      <w:r w:rsidRPr="00536142">
        <w:t>Appearance</w:t>
      </w:r>
    </w:p>
    <w:p w14:paraId="0F13BFE0" w14:textId="51FEB7E1" w:rsidR="007534F0" w:rsidRDefault="007455CC" w:rsidP="00953CEC">
      <w:proofErr w:type="spellStart"/>
      <w:r>
        <w:rPr>
          <w:lang w:eastAsia="en-GB"/>
        </w:rPr>
        <w:t>Dyeguard</w:t>
      </w:r>
      <w:proofErr w:type="spellEnd"/>
      <w:r>
        <w:rPr>
          <w:lang w:eastAsia="en-GB"/>
        </w:rPr>
        <w:t>® Black GNF</w:t>
      </w:r>
      <w:r w:rsidRPr="218EA065">
        <w:rPr>
          <w:lang w:eastAsia="en-GB"/>
        </w:rPr>
        <w:t xml:space="preserve"> </w:t>
      </w:r>
      <w:r w:rsidR="007534F0" w:rsidRPr="218EA065">
        <w:rPr>
          <w:lang w:eastAsia="en-GB"/>
        </w:rPr>
        <w:t xml:space="preserve">is a free-flowing </w:t>
      </w:r>
      <w:r w:rsidRPr="00410841">
        <w:rPr>
          <w:rFonts w:cs="Arial"/>
          <w:lang w:eastAsia="en-GB"/>
        </w:rPr>
        <w:t xml:space="preserve">dark black/blue </w:t>
      </w:r>
      <w:r w:rsidR="00010EF5">
        <w:rPr>
          <w:lang w:eastAsia="en-GB"/>
        </w:rPr>
        <w:t>liquid</w:t>
      </w:r>
      <w:r w:rsidR="007534F0" w:rsidRPr="218EA065">
        <w:rPr>
          <w:lang w:eastAsia="en-GB"/>
        </w:rPr>
        <w:t xml:space="preserve"> with a distinct aromatic odour. It is not miscible with water</w:t>
      </w:r>
      <w:r w:rsidR="007534F0" w:rsidRPr="005C643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8"/>
      </w:tblGrid>
      <w:tr w:rsidR="006D1CCB" w14:paraId="7E60E0EE" w14:textId="77777777" w:rsidTr="00CE5B17">
        <w:trPr>
          <w:trHeight w:val="734"/>
        </w:trPr>
        <w:tc>
          <w:tcPr>
            <w:tcW w:w="9708" w:type="dxa"/>
          </w:tcPr>
          <w:p w14:paraId="7A49DAEE" w14:textId="0887396A" w:rsidR="006D1CCB" w:rsidRPr="00505DE3" w:rsidRDefault="006D1CCB" w:rsidP="00953CEC">
            <w:pPr>
              <w:pStyle w:val="Heading1"/>
              <w:rPr>
                <w:noProof/>
              </w:rPr>
            </w:pPr>
            <w:r w:rsidRPr="00505DE3">
              <w:t>Typical viscosity curve</w:t>
            </w:r>
          </w:p>
        </w:tc>
      </w:tr>
      <w:tr w:rsidR="006D1CCB" w14:paraId="15025527" w14:textId="44DC8955" w:rsidTr="00CE5B17">
        <w:trPr>
          <w:trHeight w:val="3259"/>
        </w:trPr>
        <w:tc>
          <w:tcPr>
            <w:tcW w:w="9708" w:type="dxa"/>
          </w:tcPr>
          <w:p w14:paraId="5B8D64DC" w14:textId="17834625" w:rsidR="006D1CCB" w:rsidRPr="00010EF5" w:rsidRDefault="00B91F1A" w:rsidP="006D1CCB">
            <w:pPr>
              <w:jc w:val="center"/>
              <w:rPr>
                <w:noProof/>
                <w:highlight w:val="yellow"/>
              </w:rPr>
            </w:pPr>
            <w:r w:rsidRPr="00B91F1A">
              <w:rPr>
                <w:noProof/>
              </w:rPr>
              <w:drawing>
                <wp:inline distT="0" distB="0" distL="0" distR="0" wp14:anchorId="30D7B2C9" wp14:editId="1F161192">
                  <wp:extent cx="3251628" cy="2106000"/>
                  <wp:effectExtent l="0" t="0" r="6350" b="8890"/>
                  <wp:docPr id="875160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628" cy="2106000"/>
                          </a:xfrm>
                          <a:prstGeom prst="rect">
                            <a:avLst/>
                          </a:prstGeom>
                          <a:noFill/>
                        </pic:spPr>
                      </pic:pic>
                    </a:graphicData>
                  </a:graphic>
                </wp:inline>
              </w:drawing>
            </w:r>
          </w:p>
        </w:tc>
      </w:tr>
    </w:tbl>
    <w:p w14:paraId="66AF0B37" w14:textId="6732487D" w:rsidR="00DE359B" w:rsidRPr="009854C8" w:rsidRDefault="00DE359B" w:rsidP="00DE359B">
      <w:pPr>
        <w:pStyle w:val="Heading1"/>
      </w:pPr>
      <w:r>
        <w:t>S</w:t>
      </w:r>
      <w:r w:rsidRPr="009854C8">
        <w:t>helf life and storage condition</w:t>
      </w:r>
    </w:p>
    <w:p w14:paraId="644E353D" w14:textId="1180540F" w:rsidR="00DE359B" w:rsidRPr="002652C0" w:rsidRDefault="00DE359B" w:rsidP="00DE359B">
      <w:pPr>
        <w:tabs>
          <w:tab w:val="left" w:pos="3600"/>
        </w:tabs>
        <w:autoSpaceDE w:val="0"/>
        <w:autoSpaceDN w:val="0"/>
        <w:adjustRightInd w:val="0"/>
        <w:jc w:val="both"/>
        <w:rPr>
          <w:rFonts w:cstheme="minorHAnsi"/>
          <w:lang w:eastAsia="en-GB"/>
        </w:rPr>
      </w:pPr>
      <w:r w:rsidRPr="002652C0">
        <w:rPr>
          <w:rFonts w:cstheme="minorHAnsi"/>
          <w:lang w:eastAsia="en-GB"/>
        </w:rPr>
        <w:t xml:space="preserve">This product is stable for a minimum period of </w:t>
      </w:r>
      <w:r w:rsidR="007455CC">
        <w:rPr>
          <w:rFonts w:cstheme="minorHAnsi"/>
          <w:lang w:eastAsia="en-GB"/>
        </w:rPr>
        <w:t>1</w:t>
      </w:r>
      <w:r w:rsidRPr="002652C0">
        <w:rPr>
          <w:rFonts w:cstheme="minorHAnsi"/>
          <w:lang w:eastAsia="en-GB"/>
        </w:rPr>
        <w:t xml:space="preserve"> year from the date of manufacture, when stored and handled between 5</w:t>
      </w:r>
      <w:r w:rsidR="005A52E2">
        <w:rPr>
          <w:rFonts w:cstheme="minorHAnsi"/>
          <w:lang w:eastAsia="en-GB"/>
        </w:rPr>
        <w:t xml:space="preserve"> </w:t>
      </w:r>
      <w:r w:rsidRPr="002652C0">
        <w:rPr>
          <w:rFonts w:cstheme="minorHAnsi"/>
          <w:lang w:eastAsia="en-GB"/>
        </w:rPr>
        <w:t>°C and 40</w:t>
      </w:r>
      <w:r w:rsidR="005A52E2">
        <w:rPr>
          <w:rFonts w:cstheme="minorHAnsi"/>
          <w:lang w:eastAsia="en-GB"/>
        </w:rPr>
        <w:t xml:space="preserve"> </w:t>
      </w:r>
      <w:r w:rsidRPr="002652C0">
        <w:rPr>
          <w:rFonts w:cstheme="minorHAnsi"/>
          <w:lang w:eastAsia="en-GB"/>
        </w:rPr>
        <w:t>°C.</w:t>
      </w:r>
    </w:p>
    <w:p w14:paraId="275D5375" w14:textId="77777777" w:rsidR="00DE359B" w:rsidRPr="002652C0" w:rsidRDefault="00DE359B" w:rsidP="00DE359B">
      <w:pPr>
        <w:tabs>
          <w:tab w:val="left" w:pos="3600"/>
        </w:tabs>
        <w:autoSpaceDE w:val="0"/>
        <w:autoSpaceDN w:val="0"/>
        <w:adjustRightInd w:val="0"/>
        <w:jc w:val="both"/>
        <w:rPr>
          <w:rFonts w:cstheme="minorHAnsi"/>
          <w:sz w:val="16"/>
          <w:szCs w:val="16"/>
          <w:lang w:eastAsia="en-GB"/>
        </w:rPr>
      </w:pPr>
    </w:p>
    <w:p w14:paraId="4257715E" w14:textId="75BB937E" w:rsidR="00DE359B" w:rsidRPr="002652C0" w:rsidRDefault="00DE359B" w:rsidP="00DE359B">
      <w:pPr>
        <w:tabs>
          <w:tab w:val="left" w:pos="3600"/>
        </w:tabs>
        <w:autoSpaceDE w:val="0"/>
        <w:autoSpaceDN w:val="0"/>
        <w:adjustRightInd w:val="0"/>
        <w:jc w:val="both"/>
        <w:rPr>
          <w:rFonts w:cstheme="minorHAnsi"/>
          <w:lang w:eastAsia="en-GB"/>
        </w:rPr>
      </w:pPr>
      <w:r w:rsidRPr="002652C0">
        <w:rPr>
          <w:rFonts w:cstheme="minorHAnsi"/>
          <w:lang w:eastAsia="en-GB"/>
        </w:rPr>
        <w:t xml:space="preserve">The product should always be stored away from excessive heat sources, direct sunlight </w:t>
      </w:r>
      <w:r w:rsidR="002507FB">
        <w:rPr>
          <w:rFonts w:cstheme="minorHAnsi"/>
          <w:lang w:eastAsia="en-GB"/>
        </w:rPr>
        <w:t>and</w:t>
      </w:r>
      <w:r w:rsidR="002507FB" w:rsidRPr="002652C0">
        <w:rPr>
          <w:rFonts w:cstheme="minorHAnsi"/>
          <w:lang w:eastAsia="en-GB"/>
        </w:rPr>
        <w:t xml:space="preserve"> </w:t>
      </w:r>
      <w:r w:rsidRPr="002652C0">
        <w:rPr>
          <w:rFonts w:cstheme="minorHAnsi"/>
          <w:lang w:eastAsia="en-GB"/>
        </w:rPr>
        <w:t>ignition sources.  Storage and handling of this product outside the above stated conditions may compromise the product quality.</w:t>
      </w:r>
    </w:p>
    <w:p w14:paraId="2FA4F007" w14:textId="77777777" w:rsidR="00DE359B" w:rsidRPr="002652C0" w:rsidRDefault="00DE359B" w:rsidP="00DE359B">
      <w:pPr>
        <w:tabs>
          <w:tab w:val="left" w:pos="3600"/>
        </w:tabs>
        <w:autoSpaceDE w:val="0"/>
        <w:autoSpaceDN w:val="0"/>
        <w:adjustRightInd w:val="0"/>
        <w:jc w:val="both"/>
        <w:rPr>
          <w:rFonts w:cstheme="minorHAnsi"/>
          <w:sz w:val="16"/>
          <w:szCs w:val="16"/>
          <w:lang w:eastAsia="en-GB"/>
        </w:rPr>
      </w:pPr>
    </w:p>
    <w:p w14:paraId="433F196A" w14:textId="3377BC15" w:rsidR="00DE359B" w:rsidRDefault="00DE359B" w:rsidP="00B46644">
      <w:pPr>
        <w:tabs>
          <w:tab w:val="left" w:pos="3600"/>
        </w:tabs>
        <w:autoSpaceDE w:val="0"/>
        <w:autoSpaceDN w:val="0"/>
        <w:adjustRightInd w:val="0"/>
        <w:jc w:val="both"/>
        <w:rPr>
          <w:rFonts w:cstheme="minorHAnsi"/>
          <w:lang w:eastAsia="en-GB"/>
        </w:rPr>
      </w:pPr>
      <w:r w:rsidRPr="002652C0">
        <w:rPr>
          <w:rFonts w:cstheme="minorHAnsi"/>
          <w:lang w:eastAsia="en-GB"/>
        </w:rPr>
        <w:t>If product containers are kept sealed</w:t>
      </w:r>
      <w:r>
        <w:rPr>
          <w:rFonts w:cstheme="minorHAnsi"/>
          <w:lang w:eastAsia="en-GB"/>
        </w:rPr>
        <w:t>,</w:t>
      </w:r>
      <w:r w:rsidRPr="002652C0">
        <w:rPr>
          <w:rFonts w:cstheme="minorHAnsi"/>
          <w:lang w:eastAsia="en-GB"/>
        </w:rPr>
        <w:t xml:space="preserve"> dry</w:t>
      </w:r>
      <w:r>
        <w:rPr>
          <w:rFonts w:cstheme="minorHAnsi"/>
          <w:lang w:eastAsia="en-GB"/>
        </w:rPr>
        <w:t>,</w:t>
      </w:r>
      <w:r w:rsidRPr="002652C0">
        <w:rPr>
          <w:rFonts w:cstheme="minorHAnsi"/>
          <w:lang w:eastAsia="en-GB"/>
        </w:rPr>
        <w:t xml:space="preserve"> and extreme temperatures are avoided the shelf life of the material is greater than </w:t>
      </w:r>
      <w:r w:rsidR="007455CC">
        <w:rPr>
          <w:rFonts w:cstheme="minorHAnsi"/>
          <w:lang w:eastAsia="en-GB"/>
        </w:rPr>
        <w:t>1</w:t>
      </w:r>
      <w:r w:rsidRPr="002652C0">
        <w:rPr>
          <w:rFonts w:cstheme="minorHAnsi"/>
          <w:lang w:eastAsia="en-GB"/>
        </w:rPr>
        <w:t xml:space="preserve"> year.  The container should be tightly closed when not in use to prevent solvent evaporation.</w:t>
      </w:r>
    </w:p>
    <w:p w14:paraId="4B6A5F74" w14:textId="77777777" w:rsidR="00B46644" w:rsidRPr="002652C0" w:rsidRDefault="00B46644" w:rsidP="00B46644">
      <w:pPr>
        <w:tabs>
          <w:tab w:val="left" w:pos="3600"/>
        </w:tabs>
        <w:autoSpaceDE w:val="0"/>
        <w:autoSpaceDN w:val="0"/>
        <w:adjustRightInd w:val="0"/>
        <w:jc w:val="both"/>
        <w:rPr>
          <w:rFonts w:cstheme="minorHAnsi"/>
        </w:rPr>
      </w:pPr>
    </w:p>
    <w:p w14:paraId="66BEC069" w14:textId="77777777" w:rsidR="00DE359B" w:rsidRPr="002652C0" w:rsidRDefault="00DE359B" w:rsidP="00DE359B">
      <w:pPr>
        <w:jc w:val="both"/>
        <w:rPr>
          <w:rFonts w:cstheme="minorHAnsi"/>
          <w:color w:val="808080"/>
          <w:sz w:val="16"/>
        </w:rPr>
      </w:pPr>
      <w:r w:rsidRPr="002652C0">
        <w:rPr>
          <w:rFonts w:cstheme="minorHAnsi"/>
          <w:color w:val="808080"/>
          <w:sz w:val="16"/>
        </w:rPr>
        <w:t>DISCLAIMER</w:t>
      </w:r>
    </w:p>
    <w:p w14:paraId="58027C18" w14:textId="1E5C79E0" w:rsidR="00941E39" w:rsidRPr="00C96D7E" w:rsidRDefault="00DE359B" w:rsidP="007E23B7">
      <w:pPr>
        <w:jc w:val="both"/>
        <w:rPr>
          <w:rFonts w:ascii="Chevin" w:hAnsi="Chevin" w:cs="Arial"/>
          <w:b/>
          <w:bCs/>
        </w:rPr>
      </w:pPr>
      <w:r w:rsidRPr="002652C0">
        <w:rPr>
          <w:rFonts w:cstheme="minorHAnsi"/>
          <w:color w:val="808080"/>
          <w:sz w:val="16"/>
          <w:lang w:eastAsia="en-GB"/>
        </w:rPr>
        <w:t>THE INFORMATION CONTAINED HEREIN IS TO THE BEST OUR KNOWLEDGE AND BELIEF, ACCURATE. HOWEVER, SINCE THE CONDITIONS OF HANDLING AND OF USE ARE BEYOND OUR CONTROL, WE MAKE NO GUARANTEE OF RESULTS AND ASSUME NO LIABILITY FOR DAMAGES INCURRED BY FOLLOWING THESE SUGGESTIONS. NOTHING CONTAINED HEREIN IS TO BE CONSTRUED AS A RECOMMENDATION FOR USE IN VIOLATION OF ANY PATENTS OR OF APPLICABLE LAWS OR REGULATIONS. © 2019 JOHN HOGG TECHNICAL SOLUTIONS LTD, ALL RIGHTS RESERVED</w:t>
      </w:r>
      <w:r w:rsidR="007E23B7" w:rsidRPr="007E23B7">
        <w:rPr>
          <w:rFonts w:cstheme="minorHAnsi"/>
          <w:color w:val="808080"/>
          <w:sz w:val="16"/>
          <w:lang w:eastAsia="en-GB"/>
        </w:rPr>
        <w:t>.</w:t>
      </w:r>
    </w:p>
    <w:sectPr w:rsidR="00941E39" w:rsidRPr="00C96D7E" w:rsidSect="009F09D0">
      <w:headerReference w:type="default" r:id="rId11"/>
      <w:footerReference w:type="default" r:id="rId12"/>
      <w:pgSz w:w="11906" w:h="16838"/>
      <w:pgMar w:top="2410" w:right="851" w:bottom="198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2355" w14:textId="77777777" w:rsidR="00E836AB" w:rsidRDefault="00E836AB" w:rsidP="003B76F1">
      <w:r>
        <w:separator/>
      </w:r>
    </w:p>
  </w:endnote>
  <w:endnote w:type="continuationSeparator" w:id="0">
    <w:p w14:paraId="760FFD11" w14:textId="77777777" w:rsidR="00E836AB" w:rsidRDefault="00E836AB" w:rsidP="003B76F1">
      <w:r>
        <w:continuationSeparator/>
      </w:r>
    </w:p>
  </w:endnote>
  <w:endnote w:type="continuationNotice" w:id="1">
    <w:p w14:paraId="03050ECC" w14:textId="77777777" w:rsidR="00E836AB" w:rsidRDefault="00E83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vin">
    <w:altName w:val="Calibri"/>
    <w:panose1 w:val="00000000000000000000"/>
    <w:charset w:val="00"/>
    <w:family w:val="modern"/>
    <w:notTrueType/>
    <w:pitch w:val="variable"/>
    <w:sig w:usb0="800000AF" w:usb1="50002048"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6292" w14:textId="7F587CFD" w:rsidR="00E316DE" w:rsidRDefault="00000000">
    <w:pPr>
      <w:pStyle w:val="Footer"/>
      <w:jc w:val="right"/>
    </w:pPr>
    <w:sdt>
      <w:sdtPr>
        <w:id w:val="25147400"/>
        <w:docPartObj>
          <w:docPartGallery w:val="Page Numbers (Bottom of Page)"/>
          <w:docPartUnique/>
        </w:docPartObj>
      </w:sdtPr>
      <w:sdtContent>
        <w:sdt>
          <w:sdtPr>
            <w:id w:val="-1769616900"/>
            <w:docPartObj>
              <w:docPartGallery w:val="Page Numbers (Top of Page)"/>
              <w:docPartUnique/>
            </w:docPartObj>
          </w:sdtPr>
          <w:sdtContent>
            <w:r w:rsidR="00E316DE" w:rsidRPr="00E316DE">
              <w:rPr>
                <w:rFonts w:ascii="Chevin" w:hAnsi="Chevin"/>
                <w:sz w:val="20"/>
                <w:szCs w:val="20"/>
              </w:rPr>
              <w:t xml:space="preserve">Page </w:t>
            </w:r>
            <w:r w:rsidR="00E316DE" w:rsidRPr="00E316DE">
              <w:rPr>
                <w:rFonts w:ascii="Chevin" w:hAnsi="Chevin"/>
                <w:b/>
                <w:bCs/>
                <w:sz w:val="20"/>
                <w:szCs w:val="20"/>
              </w:rPr>
              <w:fldChar w:fldCharType="begin"/>
            </w:r>
            <w:r w:rsidR="00E316DE" w:rsidRPr="00E316DE">
              <w:rPr>
                <w:rFonts w:ascii="Chevin" w:hAnsi="Chevin"/>
                <w:b/>
                <w:bCs/>
                <w:sz w:val="20"/>
                <w:szCs w:val="20"/>
              </w:rPr>
              <w:instrText xml:space="preserve"> PAGE </w:instrText>
            </w:r>
            <w:r w:rsidR="00E316DE" w:rsidRPr="00E316DE">
              <w:rPr>
                <w:rFonts w:ascii="Chevin" w:hAnsi="Chevin"/>
                <w:b/>
                <w:bCs/>
                <w:sz w:val="20"/>
                <w:szCs w:val="20"/>
              </w:rPr>
              <w:fldChar w:fldCharType="separate"/>
            </w:r>
            <w:r w:rsidR="00E316DE" w:rsidRPr="00E316DE">
              <w:rPr>
                <w:rFonts w:ascii="Chevin" w:hAnsi="Chevin"/>
                <w:b/>
                <w:bCs/>
                <w:noProof/>
                <w:sz w:val="20"/>
                <w:szCs w:val="20"/>
              </w:rPr>
              <w:t>2</w:t>
            </w:r>
            <w:r w:rsidR="00E316DE" w:rsidRPr="00E316DE">
              <w:rPr>
                <w:rFonts w:ascii="Chevin" w:hAnsi="Chevin"/>
                <w:b/>
                <w:bCs/>
                <w:sz w:val="20"/>
                <w:szCs w:val="20"/>
              </w:rPr>
              <w:fldChar w:fldCharType="end"/>
            </w:r>
            <w:r w:rsidR="00E316DE" w:rsidRPr="00E316DE">
              <w:rPr>
                <w:rFonts w:ascii="Chevin" w:hAnsi="Chevin"/>
                <w:sz w:val="20"/>
                <w:szCs w:val="20"/>
              </w:rPr>
              <w:t xml:space="preserve"> of </w:t>
            </w:r>
            <w:r w:rsidR="00E316DE" w:rsidRPr="00E316DE">
              <w:rPr>
                <w:rFonts w:ascii="Chevin" w:hAnsi="Chevin"/>
                <w:b/>
                <w:bCs/>
                <w:sz w:val="20"/>
                <w:szCs w:val="20"/>
              </w:rPr>
              <w:fldChar w:fldCharType="begin"/>
            </w:r>
            <w:r w:rsidR="00E316DE" w:rsidRPr="00E316DE">
              <w:rPr>
                <w:rFonts w:ascii="Chevin" w:hAnsi="Chevin"/>
                <w:b/>
                <w:bCs/>
                <w:sz w:val="20"/>
                <w:szCs w:val="20"/>
              </w:rPr>
              <w:instrText xml:space="preserve"> NUMPAGES  </w:instrText>
            </w:r>
            <w:r w:rsidR="00E316DE" w:rsidRPr="00E316DE">
              <w:rPr>
                <w:rFonts w:ascii="Chevin" w:hAnsi="Chevin"/>
                <w:b/>
                <w:bCs/>
                <w:sz w:val="20"/>
                <w:szCs w:val="20"/>
              </w:rPr>
              <w:fldChar w:fldCharType="separate"/>
            </w:r>
            <w:r w:rsidR="00E316DE" w:rsidRPr="00E316DE">
              <w:rPr>
                <w:rFonts w:ascii="Chevin" w:hAnsi="Chevin"/>
                <w:b/>
                <w:bCs/>
                <w:noProof/>
                <w:sz w:val="20"/>
                <w:szCs w:val="20"/>
              </w:rPr>
              <w:t>2</w:t>
            </w:r>
            <w:r w:rsidR="00E316DE" w:rsidRPr="00E316DE">
              <w:rPr>
                <w:rFonts w:ascii="Chevin" w:hAnsi="Chevin"/>
                <w:b/>
                <w:bCs/>
                <w:sz w:val="20"/>
                <w:szCs w:val="20"/>
              </w:rPr>
              <w:fldChar w:fldCharType="end"/>
            </w:r>
          </w:sdtContent>
        </w:sdt>
      </w:sdtContent>
    </w:sdt>
  </w:p>
  <w:p w14:paraId="254B7880" w14:textId="77777777" w:rsidR="00E316DE" w:rsidRDefault="00E3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57B3" w14:textId="77777777" w:rsidR="00E836AB" w:rsidRDefault="00E836AB" w:rsidP="003B76F1">
      <w:r>
        <w:separator/>
      </w:r>
    </w:p>
  </w:footnote>
  <w:footnote w:type="continuationSeparator" w:id="0">
    <w:p w14:paraId="480E1327" w14:textId="77777777" w:rsidR="00E836AB" w:rsidRDefault="00E836AB" w:rsidP="003B76F1">
      <w:r>
        <w:continuationSeparator/>
      </w:r>
    </w:p>
  </w:footnote>
  <w:footnote w:type="continuationNotice" w:id="1">
    <w:p w14:paraId="5946CB31" w14:textId="77777777" w:rsidR="00E836AB" w:rsidRDefault="00E83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CED7" w14:textId="35A2E222" w:rsidR="00DE359B" w:rsidRPr="006D3943" w:rsidRDefault="00927ADA" w:rsidP="00690B7B">
    <w:pPr>
      <w:pStyle w:val="Heading2"/>
      <w:tabs>
        <w:tab w:val="clear" w:pos="2310"/>
      </w:tabs>
      <w:ind w:left="3969"/>
      <w:jc w:val="right"/>
      <w:rPr>
        <w:rFonts w:asciiTheme="minorHAnsi" w:hAnsiTheme="minorHAnsi"/>
        <w:color w:val="2B91D2"/>
        <w:sz w:val="32"/>
        <w:szCs w:val="32"/>
      </w:rPr>
    </w:pPr>
    <w:r w:rsidRPr="00010EF5">
      <w:rPr>
        <w:noProof/>
        <w:highlight w:val="yellow"/>
      </w:rPr>
      <w:drawing>
        <wp:anchor distT="0" distB="0" distL="114300" distR="114300" simplePos="0" relativeHeight="251660288" behindDoc="1" locked="0" layoutInCell="1" allowOverlap="1" wp14:anchorId="0093B423" wp14:editId="41CA572F">
          <wp:simplePos x="0" y="0"/>
          <wp:positionH relativeFrom="column">
            <wp:posOffset>-533400</wp:posOffset>
          </wp:positionH>
          <wp:positionV relativeFrom="paragraph">
            <wp:posOffset>-438785</wp:posOffset>
          </wp:positionV>
          <wp:extent cx="7545705" cy="10673715"/>
          <wp:effectExtent l="0" t="0" r="0" b="0"/>
          <wp:wrapNone/>
          <wp:docPr id="37" name="Picture 3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5705" cy="10673715"/>
                  </a:xfrm>
                  <a:prstGeom prst="rect">
                    <a:avLst/>
                  </a:prstGeom>
                </pic:spPr>
              </pic:pic>
            </a:graphicData>
          </a:graphic>
          <wp14:sizeRelH relativeFrom="page">
            <wp14:pctWidth>0</wp14:pctWidth>
          </wp14:sizeRelH>
          <wp14:sizeRelV relativeFrom="page">
            <wp14:pctHeight>0</wp14:pctHeight>
          </wp14:sizeRelV>
        </wp:anchor>
      </w:drawing>
    </w:r>
    <w:r w:rsidR="00E5074E" w:rsidRPr="00010EF5">
      <w:rPr>
        <w:noProof/>
        <w:highlight w:val="yellow"/>
      </w:rPr>
      <w:drawing>
        <wp:anchor distT="0" distB="0" distL="114300" distR="114300" simplePos="0" relativeHeight="251656192" behindDoc="1" locked="0" layoutInCell="1" allowOverlap="1" wp14:anchorId="0419DD3A" wp14:editId="595CB8D8">
          <wp:simplePos x="0" y="0"/>
          <wp:positionH relativeFrom="column">
            <wp:posOffset>7003415</wp:posOffset>
          </wp:positionH>
          <wp:positionV relativeFrom="paragraph">
            <wp:posOffset>-440690</wp:posOffset>
          </wp:positionV>
          <wp:extent cx="7545705" cy="10673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705" cy="106737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7455CC">
      <w:rPr>
        <w:rFonts w:asciiTheme="minorHAnsi" w:hAnsiTheme="minorHAnsi"/>
        <w:color w:val="2B91D2"/>
        <w:sz w:val="32"/>
        <w:szCs w:val="32"/>
      </w:rPr>
      <w:t>Dyeguard</w:t>
    </w:r>
    <w:proofErr w:type="spellEnd"/>
    <w:r w:rsidR="0075305D">
      <w:rPr>
        <w:rFonts w:asciiTheme="minorHAnsi" w:hAnsiTheme="minorHAnsi"/>
        <w:color w:val="2B91D2"/>
        <w:sz w:val="32"/>
        <w:szCs w:val="32"/>
      </w:rPr>
      <w:t>®</w:t>
    </w:r>
    <w:r w:rsidR="007455CC">
      <w:rPr>
        <w:rFonts w:asciiTheme="minorHAnsi" w:hAnsiTheme="minorHAnsi"/>
        <w:color w:val="2B91D2"/>
        <w:sz w:val="32"/>
        <w:szCs w:val="32"/>
      </w:rPr>
      <w:t xml:space="preserve"> Black GNF</w:t>
    </w:r>
  </w:p>
  <w:p w14:paraId="426F17AD" w14:textId="43FCACC8" w:rsidR="00DE359B" w:rsidRPr="006D3943" w:rsidRDefault="00DE359B" w:rsidP="00690B7B">
    <w:pPr>
      <w:pStyle w:val="Heading2"/>
      <w:tabs>
        <w:tab w:val="clear" w:pos="2310"/>
      </w:tabs>
      <w:ind w:left="3969"/>
      <w:jc w:val="right"/>
      <w:rPr>
        <w:rFonts w:asciiTheme="minorHAnsi" w:hAnsiTheme="minorHAnsi"/>
        <w:sz w:val="24"/>
      </w:rPr>
    </w:pPr>
    <w:r w:rsidRPr="006D3943">
      <w:rPr>
        <w:rFonts w:asciiTheme="minorHAnsi" w:hAnsiTheme="minorHAnsi"/>
        <w:sz w:val="24"/>
      </w:rPr>
      <w:t>Technical Data Sheet</w:t>
    </w:r>
  </w:p>
  <w:p w14:paraId="3AEC0E35" w14:textId="15B63F29" w:rsidR="00DE359B" w:rsidRPr="00480875" w:rsidRDefault="00DE359B" w:rsidP="00690B7B">
    <w:pPr>
      <w:pStyle w:val="Heading2"/>
      <w:tabs>
        <w:tab w:val="clear" w:pos="2310"/>
      </w:tabs>
      <w:ind w:left="3969"/>
      <w:jc w:val="right"/>
      <w:rPr>
        <w:rFonts w:asciiTheme="minorHAnsi" w:hAnsiTheme="minorHAnsi"/>
        <w:b w:val="0"/>
        <w:bCs w:val="0"/>
        <w:szCs w:val="22"/>
      </w:rPr>
    </w:pPr>
  </w:p>
  <w:p w14:paraId="1249ED1F" w14:textId="7D1A8112" w:rsidR="00945412" w:rsidRDefault="00DE359B" w:rsidP="00690B7B">
    <w:pPr>
      <w:pStyle w:val="Heading2"/>
      <w:tabs>
        <w:tab w:val="clear" w:pos="2310"/>
      </w:tabs>
      <w:ind w:left="3969"/>
      <w:jc w:val="right"/>
      <w:rPr>
        <w:rFonts w:asciiTheme="minorHAnsi" w:hAnsiTheme="minorHAnsi"/>
        <w:b w:val="0"/>
        <w:bCs w:val="0"/>
        <w:sz w:val="24"/>
      </w:rPr>
    </w:pPr>
    <w:r w:rsidRPr="006D3943">
      <w:rPr>
        <w:rFonts w:asciiTheme="minorHAnsi" w:hAnsiTheme="minorHAnsi"/>
        <w:b w:val="0"/>
        <w:bCs w:val="0"/>
        <w:sz w:val="24"/>
      </w:rPr>
      <w:t>Date of 1</w:t>
    </w:r>
    <w:r w:rsidRPr="006D3943">
      <w:rPr>
        <w:rFonts w:asciiTheme="minorHAnsi" w:hAnsiTheme="minorHAnsi"/>
        <w:b w:val="0"/>
        <w:bCs w:val="0"/>
        <w:sz w:val="24"/>
        <w:vertAlign w:val="superscript"/>
      </w:rPr>
      <w:t>st</w:t>
    </w:r>
    <w:r w:rsidRPr="006D3943">
      <w:rPr>
        <w:rFonts w:asciiTheme="minorHAnsi" w:hAnsiTheme="minorHAnsi"/>
        <w:b w:val="0"/>
        <w:bCs w:val="0"/>
        <w:sz w:val="24"/>
      </w:rPr>
      <w:t xml:space="preserve"> Issue: </w:t>
    </w:r>
    <w:r w:rsidR="007455CC">
      <w:rPr>
        <w:rFonts w:asciiTheme="minorHAnsi" w:hAnsiTheme="minorHAnsi"/>
        <w:b w:val="0"/>
        <w:bCs w:val="0"/>
        <w:sz w:val="24"/>
      </w:rPr>
      <w:t>June 2023</w:t>
    </w:r>
  </w:p>
  <w:p w14:paraId="14DD2148" w14:textId="41960ED5" w:rsidR="003B76F1" w:rsidRDefault="00DE359B" w:rsidP="00AF1FFC">
    <w:pPr>
      <w:pStyle w:val="Heading2"/>
      <w:tabs>
        <w:tab w:val="clear" w:pos="2310"/>
      </w:tabs>
      <w:ind w:left="3969"/>
      <w:jc w:val="right"/>
    </w:pPr>
    <w:r w:rsidRPr="006D3943">
      <w:rPr>
        <w:rFonts w:asciiTheme="minorHAnsi" w:hAnsiTheme="minorHAnsi"/>
        <w:b w:val="0"/>
        <w:bCs w:val="0"/>
        <w:sz w:val="24"/>
      </w:rPr>
      <w:t xml:space="preserve">Version </w:t>
    </w:r>
    <w:r w:rsidR="00AF1FFC">
      <w:rPr>
        <w:rFonts w:asciiTheme="minorHAnsi" w:hAnsiTheme="minorHAnsi"/>
        <w:b w:val="0"/>
        <w:bCs w:val="0"/>
        <w:sz w:val="24"/>
      </w:rPr>
      <w:t>2</w:t>
    </w:r>
    <w:r w:rsidRPr="006D3943">
      <w:rPr>
        <w:rFonts w:asciiTheme="minorHAnsi" w:hAnsiTheme="minorHAnsi"/>
        <w:b w:val="0"/>
        <w:bCs w:val="0"/>
        <w:sz w:val="24"/>
      </w:rPr>
      <w:t xml:space="preserve">: </w:t>
    </w:r>
    <w:r w:rsidR="00AF1FFC">
      <w:rPr>
        <w:rFonts w:asciiTheme="minorHAnsi" w:hAnsiTheme="minorHAnsi"/>
        <w:b w:val="0"/>
        <w:bCs w:val="0"/>
        <w:sz w:val="24"/>
      </w:rP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5A9A"/>
    <w:multiLevelType w:val="hybridMultilevel"/>
    <w:tmpl w:val="7AD0EFD2"/>
    <w:lvl w:ilvl="0" w:tplc="D8442C08">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19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E9"/>
    <w:rsid w:val="00001752"/>
    <w:rsid w:val="00002F64"/>
    <w:rsid w:val="00010EF5"/>
    <w:rsid w:val="00011B17"/>
    <w:rsid w:val="00026405"/>
    <w:rsid w:val="00032C24"/>
    <w:rsid w:val="00034E4E"/>
    <w:rsid w:val="000404D0"/>
    <w:rsid w:val="000564EB"/>
    <w:rsid w:val="0007238F"/>
    <w:rsid w:val="00096AF0"/>
    <w:rsid w:val="000B088F"/>
    <w:rsid w:val="000B2F47"/>
    <w:rsid w:val="000E032C"/>
    <w:rsid w:val="00111EFB"/>
    <w:rsid w:val="001156D8"/>
    <w:rsid w:val="00121EF0"/>
    <w:rsid w:val="001262C3"/>
    <w:rsid w:val="00150EE4"/>
    <w:rsid w:val="00154892"/>
    <w:rsid w:val="00161364"/>
    <w:rsid w:val="00171C8B"/>
    <w:rsid w:val="001A1BCB"/>
    <w:rsid w:val="001A2190"/>
    <w:rsid w:val="001C6503"/>
    <w:rsid w:val="001D74BF"/>
    <w:rsid w:val="001E1751"/>
    <w:rsid w:val="001E233A"/>
    <w:rsid w:val="001E5F70"/>
    <w:rsid w:val="001F3C3F"/>
    <w:rsid w:val="00212B5B"/>
    <w:rsid w:val="00220ABE"/>
    <w:rsid w:val="00223FEC"/>
    <w:rsid w:val="00230EEB"/>
    <w:rsid w:val="002507FB"/>
    <w:rsid w:val="0025119F"/>
    <w:rsid w:val="002632BD"/>
    <w:rsid w:val="002770DD"/>
    <w:rsid w:val="00283AAF"/>
    <w:rsid w:val="00285164"/>
    <w:rsid w:val="002851AE"/>
    <w:rsid w:val="00297D28"/>
    <w:rsid w:val="002A4BCB"/>
    <w:rsid w:val="002C0219"/>
    <w:rsid w:val="002C3C72"/>
    <w:rsid w:val="002C45A2"/>
    <w:rsid w:val="002D6409"/>
    <w:rsid w:val="002E2AAC"/>
    <w:rsid w:val="00346733"/>
    <w:rsid w:val="003474BC"/>
    <w:rsid w:val="003565E0"/>
    <w:rsid w:val="003719C3"/>
    <w:rsid w:val="00380613"/>
    <w:rsid w:val="003A3CDB"/>
    <w:rsid w:val="003B361D"/>
    <w:rsid w:val="003B76F1"/>
    <w:rsid w:val="003C237A"/>
    <w:rsid w:val="003C5B2D"/>
    <w:rsid w:val="003D7414"/>
    <w:rsid w:val="003E49E9"/>
    <w:rsid w:val="00421A3F"/>
    <w:rsid w:val="00435EF3"/>
    <w:rsid w:val="0044089C"/>
    <w:rsid w:val="00450827"/>
    <w:rsid w:val="004956CA"/>
    <w:rsid w:val="004968D5"/>
    <w:rsid w:val="004A3E27"/>
    <w:rsid w:val="004B1833"/>
    <w:rsid w:val="004E14FB"/>
    <w:rsid w:val="004E1810"/>
    <w:rsid w:val="004F7068"/>
    <w:rsid w:val="00504C3C"/>
    <w:rsid w:val="00505DE3"/>
    <w:rsid w:val="005103D5"/>
    <w:rsid w:val="0051422F"/>
    <w:rsid w:val="00535263"/>
    <w:rsid w:val="00537116"/>
    <w:rsid w:val="0054374F"/>
    <w:rsid w:val="00556756"/>
    <w:rsid w:val="00572AD4"/>
    <w:rsid w:val="005A1DD6"/>
    <w:rsid w:val="005A300E"/>
    <w:rsid w:val="005A4AA8"/>
    <w:rsid w:val="005A52E2"/>
    <w:rsid w:val="005ADD5F"/>
    <w:rsid w:val="005C798F"/>
    <w:rsid w:val="005F4383"/>
    <w:rsid w:val="006258E2"/>
    <w:rsid w:val="00636E9A"/>
    <w:rsid w:val="00637575"/>
    <w:rsid w:val="00656CA9"/>
    <w:rsid w:val="00666D19"/>
    <w:rsid w:val="00671A21"/>
    <w:rsid w:val="00687370"/>
    <w:rsid w:val="00690B7B"/>
    <w:rsid w:val="00690FE7"/>
    <w:rsid w:val="00697619"/>
    <w:rsid w:val="006A52BD"/>
    <w:rsid w:val="006A6A3D"/>
    <w:rsid w:val="006B2253"/>
    <w:rsid w:val="006B6EFB"/>
    <w:rsid w:val="006D1CCB"/>
    <w:rsid w:val="006E0CC6"/>
    <w:rsid w:val="00710AB2"/>
    <w:rsid w:val="00714C72"/>
    <w:rsid w:val="007151C2"/>
    <w:rsid w:val="00715ABB"/>
    <w:rsid w:val="00726904"/>
    <w:rsid w:val="00730430"/>
    <w:rsid w:val="00733AE9"/>
    <w:rsid w:val="00735CFB"/>
    <w:rsid w:val="007455CC"/>
    <w:rsid w:val="00745CE9"/>
    <w:rsid w:val="0075305D"/>
    <w:rsid w:val="007534F0"/>
    <w:rsid w:val="00762FC6"/>
    <w:rsid w:val="00772CBC"/>
    <w:rsid w:val="0077466C"/>
    <w:rsid w:val="007B2781"/>
    <w:rsid w:val="007E1928"/>
    <w:rsid w:val="007E23B7"/>
    <w:rsid w:val="007E4EA1"/>
    <w:rsid w:val="007E5289"/>
    <w:rsid w:val="007E6D92"/>
    <w:rsid w:val="00802510"/>
    <w:rsid w:val="00817903"/>
    <w:rsid w:val="00821AB8"/>
    <w:rsid w:val="00843444"/>
    <w:rsid w:val="0086416E"/>
    <w:rsid w:val="008748F1"/>
    <w:rsid w:val="00876056"/>
    <w:rsid w:val="008857E0"/>
    <w:rsid w:val="008D2495"/>
    <w:rsid w:val="009112BA"/>
    <w:rsid w:val="00913C87"/>
    <w:rsid w:val="00927ADA"/>
    <w:rsid w:val="00941E39"/>
    <w:rsid w:val="00945412"/>
    <w:rsid w:val="00950800"/>
    <w:rsid w:val="0095171E"/>
    <w:rsid w:val="00953CEC"/>
    <w:rsid w:val="00976DBC"/>
    <w:rsid w:val="009B6D6E"/>
    <w:rsid w:val="009B7212"/>
    <w:rsid w:val="009F09D0"/>
    <w:rsid w:val="00A24CE9"/>
    <w:rsid w:val="00A26289"/>
    <w:rsid w:val="00A600AB"/>
    <w:rsid w:val="00A61965"/>
    <w:rsid w:val="00A7213A"/>
    <w:rsid w:val="00A7284A"/>
    <w:rsid w:val="00A8379E"/>
    <w:rsid w:val="00A8383C"/>
    <w:rsid w:val="00A92D01"/>
    <w:rsid w:val="00AA0456"/>
    <w:rsid w:val="00AB18A6"/>
    <w:rsid w:val="00AB3331"/>
    <w:rsid w:val="00AC6708"/>
    <w:rsid w:val="00AD7449"/>
    <w:rsid w:val="00AF1FFC"/>
    <w:rsid w:val="00AF3652"/>
    <w:rsid w:val="00B064CD"/>
    <w:rsid w:val="00B11678"/>
    <w:rsid w:val="00B146BD"/>
    <w:rsid w:val="00B32817"/>
    <w:rsid w:val="00B34B87"/>
    <w:rsid w:val="00B41D41"/>
    <w:rsid w:val="00B4202D"/>
    <w:rsid w:val="00B43F2B"/>
    <w:rsid w:val="00B46644"/>
    <w:rsid w:val="00B755DF"/>
    <w:rsid w:val="00B83A4C"/>
    <w:rsid w:val="00B90E37"/>
    <w:rsid w:val="00B911FD"/>
    <w:rsid w:val="00B91F1A"/>
    <w:rsid w:val="00BA3D1E"/>
    <w:rsid w:val="00BF35E4"/>
    <w:rsid w:val="00C230CF"/>
    <w:rsid w:val="00C307A5"/>
    <w:rsid w:val="00C42139"/>
    <w:rsid w:val="00C46D01"/>
    <w:rsid w:val="00C61048"/>
    <w:rsid w:val="00C8558C"/>
    <w:rsid w:val="00C94848"/>
    <w:rsid w:val="00C9486C"/>
    <w:rsid w:val="00C96D7E"/>
    <w:rsid w:val="00CA5BD6"/>
    <w:rsid w:val="00CC2337"/>
    <w:rsid w:val="00CE2D4D"/>
    <w:rsid w:val="00CE5B17"/>
    <w:rsid w:val="00D04CDA"/>
    <w:rsid w:val="00D20648"/>
    <w:rsid w:val="00D9158D"/>
    <w:rsid w:val="00D96D70"/>
    <w:rsid w:val="00DA3289"/>
    <w:rsid w:val="00DA740D"/>
    <w:rsid w:val="00DB046E"/>
    <w:rsid w:val="00DB2776"/>
    <w:rsid w:val="00DB457C"/>
    <w:rsid w:val="00DC6331"/>
    <w:rsid w:val="00DD0909"/>
    <w:rsid w:val="00DE359B"/>
    <w:rsid w:val="00E07A77"/>
    <w:rsid w:val="00E17F00"/>
    <w:rsid w:val="00E316DE"/>
    <w:rsid w:val="00E5074E"/>
    <w:rsid w:val="00E51181"/>
    <w:rsid w:val="00E5264B"/>
    <w:rsid w:val="00E5348C"/>
    <w:rsid w:val="00E5511F"/>
    <w:rsid w:val="00E653F9"/>
    <w:rsid w:val="00E667FE"/>
    <w:rsid w:val="00E836AB"/>
    <w:rsid w:val="00E963D9"/>
    <w:rsid w:val="00EC268C"/>
    <w:rsid w:val="00EF105C"/>
    <w:rsid w:val="00EF3CB5"/>
    <w:rsid w:val="00EF44AB"/>
    <w:rsid w:val="00F13D3B"/>
    <w:rsid w:val="00F237BB"/>
    <w:rsid w:val="00F272CA"/>
    <w:rsid w:val="00F35572"/>
    <w:rsid w:val="00F36085"/>
    <w:rsid w:val="00F40102"/>
    <w:rsid w:val="00F52972"/>
    <w:rsid w:val="00F5452D"/>
    <w:rsid w:val="00F64234"/>
    <w:rsid w:val="00F649EF"/>
    <w:rsid w:val="00F75163"/>
    <w:rsid w:val="00FB6B88"/>
    <w:rsid w:val="00FC1E32"/>
    <w:rsid w:val="218EA065"/>
    <w:rsid w:val="48549579"/>
    <w:rsid w:val="5A72F13A"/>
    <w:rsid w:val="6BC2B722"/>
    <w:rsid w:val="71561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D8AA"/>
  <w15:chartTrackingRefBased/>
  <w15:docId w15:val="{8CB8B6C8-FB69-4759-A324-8462B890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CEC"/>
  </w:style>
  <w:style w:type="paragraph" w:styleId="Heading1">
    <w:name w:val="heading 1"/>
    <w:basedOn w:val="Normal"/>
    <w:next w:val="Normal"/>
    <w:link w:val="Heading1Char"/>
    <w:uiPriority w:val="9"/>
    <w:qFormat/>
    <w:rsid w:val="00E316DE"/>
    <w:pPr>
      <w:keepNext/>
      <w:keepLines/>
      <w:spacing w:before="240" w:after="120"/>
      <w:outlineLvl w:val="0"/>
    </w:pPr>
    <w:rPr>
      <w:rFonts w:ascii="Chevin" w:eastAsiaTheme="majorEastAsia" w:hAnsi="Chevin" w:cstheme="majorBidi"/>
      <w:color w:val="2B91D2"/>
      <w:sz w:val="32"/>
      <w:szCs w:val="32"/>
    </w:rPr>
  </w:style>
  <w:style w:type="paragraph" w:styleId="Heading2">
    <w:name w:val="heading 2"/>
    <w:basedOn w:val="Normal"/>
    <w:next w:val="Normal"/>
    <w:link w:val="Heading2Char"/>
    <w:qFormat/>
    <w:rsid w:val="00941E39"/>
    <w:pPr>
      <w:keepNext/>
      <w:tabs>
        <w:tab w:val="left" w:pos="2310"/>
      </w:tabs>
      <w:jc w:val="both"/>
      <w:outlineLvl w:val="1"/>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6F1"/>
    <w:pPr>
      <w:tabs>
        <w:tab w:val="center" w:pos="4513"/>
        <w:tab w:val="right" w:pos="9026"/>
      </w:tabs>
    </w:pPr>
  </w:style>
  <w:style w:type="character" w:customStyle="1" w:styleId="HeaderChar">
    <w:name w:val="Header Char"/>
    <w:basedOn w:val="DefaultParagraphFont"/>
    <w:link w:val="Header"/>
    <w:uiPriority w:val="99"/>
    <w:rsid w:val="003B76F1"/>
  </w:style>
  <w:style w:type="paragraph" w:styleId="Footer">
    <w:name w:val="footer"/>
    <w:basedOn w:val="Normal"/>
    <w:link w:val="FooterChar"/>
    <w:uiPriority w:val="99"/>
    <w:unhideWhenUsed/>
    <w:rsid w:val="003B76F1"/>
    <w:pPr>
      <w:tabs>
        <w:tab w:val="center" w:pos="4513"/>
        <w:tab w:val="right" w:pos="9026"/>
      </w:tabs>
    </w:pPr>
  </w:style>
  <w:style w:type="character" w:customStyle="1" w:styleId="FooterChar">
    <w:name w:val="Footer Char"/>
    <w:basedOn w:val="DefaultParagraphFont"/>
    <w:link w:val="Footer"/>
    <w:uiPriority w:val="99"/>
    <w:rsid w:val="003B76F1"/>
  </w:style>
  <w:style w:type="character" w:customStyle="1" w:styleId="Heading2Char">
    <w:name w:val="Heading 2 Char"/>
    <w:basedOn w:val="DefaultParagraphFont"/>
    <w:link w:val="Heading2"/>
    <w:rsid w:val="00941E39"/>
    <w:rPr>
      <w:rFonts w:ascii="Arial" w:eastAsia="Times New Roman" w:hAnsi="Arial" w:cs="Times New Roman"/>
      <w:b/>
      <w:bCs/>
      <w:sz w:val="22"/>
    </w:rPr>
  </w:style>
  <w:style w:type="character" w:customStyle="1" w:styleId="Heading1Char">
    <w:name w:val="Heading 1 Char"/>
    <w:basedOn w:val="DefaultParagraphFont"/>
    <w:link w:val="Heading1"/>
    <w:uiPriority w:val="9"/>
    <w:rsid w:val="00E316DE"/>
    <w:rPr>
      <w:rFonts w:ascii="Chevin" w:eastAsiaTheme="majorEastAsia" w:hAnsi="Chevin" w:cstheme="majorBidi"/>
      <w:color w:val="2B91D2"/>
      <w:sz w:val="32"/>
      <w:szCs w:val="32"/>
    </w:rPr>
  </w:style>
  <w:style w:type="paragraph" w:styleId="ListParagraph">
    <w:name w:val="List Paragraph"/>
    <w:basedOn w:val="Normal"/>
    <w:uiPriority w:val="34"/>
    <w:qFormat/>
    <w:rsid w:val="00DE359B"/>
    <w:pPr>
      <w:ind w:left="720"/>
      <w:contextualSpacing/>
    </w:pPr>
    <w:rPr>
      <w:rFonts w:ascii="Arial" w:eastAsia="Times New Roman" w:hAnsi="Arial" w:cs="Times New Roman"/>
      <w:sz w:val="20"/>
    </w:rPr>
  </w:style>
  <w:style w:type="table" w:styleId="TableGrid">
    <w:name w:val="Table Grid"/>
    <w:basedOn w:val="TableNormal"/>
    <w:uiPriority w:val="39"/>
    <w:rsid w:val="00DE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359B"/>
    <w:rPr>
      <w:sz w:val="16"/>
      <w:szCs w:val="16"/>
    </w:rPr>
  </w:style>
  <w:style w:type="paragraph" w:styleId="CommentText">
    <w:name w:val="annotation text"/>
    <w:basedOn w:val="Normal"/>
    <w:link w:val="CommentTextChar"/>
    <w:uiPriority w:val="99"/>
    <w:unhideWhenUsed/>
    <w:rsid w:val="00DE359B"/>
    <w:rPr>
      <w:sz w:val="20"/>
      <w:szCs w:val="20"/>
    </w:rPr>
  </w:style>
  <w:style w:type="character" w:customStyle="1" w:styleId="CommentTextChar">
    <w:name w:val="Comment Text Char"/>
    <w:basedOn w:val="DefaultParagraphFont"/>
    <w:link w:val="CommentText"/>
    <w:uiPriority w:val="99"/>
    <w:rsid w:val="00DE359B"/>
    <w:rPr>
      <w:sz w:val="20"/>
      <w:szCs w:val="20"/>
    </w:rPr>
  </w:style>
  <w:style w:type="paragraph" w:styleId="CommentSubject">
    <w:name w:val="annotation subject"/>
    <w:basedOn w:val="CommentText"/>
    <w:next w:val="CommentText"/>
    <w:link w:val="CommentSubjectChar"/>
    <w:uiPriority w:val="99"/>
    <w:semiHidden/>
    <w:unhideWhenUsed/>
    <w:rsid w:val="00DE359B"/>
    <w:rPr>
      <w:b/>
      <w:bCs/>
    </w:rPr>
  </w:style>
  <w:style w:type="character" w:customStyle="1" w:styleId="CommentSubjectChar">
    <w:name w:val="Comment Subject Char"/>
    <w:basedOn w:val="CommentTextChar"/>
    <w:link w:val="CommentSubject"/>
    <w:uiPriority w:val="99"/>
    <w:semiHidden/>
    <w:rsid w:val="00DE359B"/>
    <w:rPr>
      <w:b/>
      <w:bCs/>
      <w:sz w:val="20"/>
      <w:szCs w:val="20"/>
    </w:rPr>
  </w:style>
  <w:style w:type="character" w:styleId="Mention">
    <w:name w:val="Mention"/>
    <w:basedOn w:val="DefaultParagraphFont"/>
    <w:uiPriority w:val="99"/>
    <w:unhideWhenUsed/>
    <w:rsid w:val="00C94848"/>
    <w:rPr>
      <w:color w:val="2B579A"/>
      <w:shd w:val="clear" w:color="auto" w:fill="E1DFDD"/>
    </w:rPr>
  </w:style>
  <w:style w:type="paragraph" w:styleId="Revision">
    <w:name w:val="Revision"/>
    <w:hidden/>
    <w:uiPriority w:val="99"/>
    <w:semiHidden/>
    <w:rsid w:val="0025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John Hogg">
  <a:themeElements>
    <a:clrScheme name="John Hogg">
      <a:dk1>
        <a:sysClr val="windowText" lastClr="000000"/>
      </a:dk1>
      <a:lt1>
        <a:srgbClr val="FFFFFF"/>
      </a:lt1>
      <a:dk2>
        <a:srgbClr val="44546A"/>
      </a:dk2>
      <a:lt2>
        <a:srgbClr val="FFFFFF"/>
      </a:lt2>
      <a:accent1>
        <a:srgbClr val="2B91D2"/>
      </a:accent1>
      <a:accent2>
        <a:srgbClr val="C0C8CE"/>
      </a:accent2>
      <a:accent3>
        <a:srgbClr val="667078"/>
      </a:accent3>
      <a:accent4>
        <a:srgbClr val="E5BE1B"/>
      </a:accent4>
      <a:accent5>
        <a:srgbClr val="A8D0D2"/>
      </a:accent5>
      <a:accent6>
        <a:srgbClr val="37A09C"/>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b19fe-e77a-44b7-82e2-4d1ba221bbee" xsi:nil="true"/>
    <lcf76f155ced4ddcb4097134ff3c332f xmlns="b866ded3-d4a1-42fd-be3a-06faf3b3b38f">
      <Terms xmlns="http://schemas.microsoft.com/office/infopath/2007/PartnerControls"/>
    </lcf76f155ced4ddcb4097134ff3c332f>
    <SharedWithUsers xmlns="a3fb19fe-e77a-44b7-82e2-4d1ba221bbe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032AAFC068548B405352FF09A5134" ma:contentTypeVersion="17" ma:contentTypeDescription="Create a new document." ma:contentTypeScope="" ma:versionID="cccfc4f3d98aae41af527cacd2650a51">
  <xsd:schema xmlns:xsd="http://www.w3.org/2001/XMLSchema" xmlns:xs="http://www.w3.org/2001/XMLSchema" xmlns:p="http://schemas.microsoft.com/office/2006/metadata/properties" xmlns:ns2="b866ded3-d4a1-42fd-be3a-06faf3b3b38f" xmlns:ns3="a3fb19fe-e77a-44b7-82e2-4d1ba221bbee" targetNamespace="http://schemas.microsoft.com/office/2006/metadata/properties" ma:root="true" ma:fieldsID="91368ede4ff4a4db6332ae526547ac6a" ns2:_="" ns3:_="">
    <xsd:import namespace="b866ded3-d4a1-42fd-be3a-06faf3b3b38f"/>
    <xsd:import namespace="a3fb19fe-e77a-44b7-82e2-4d1ba221bb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6ded3-d4a1-42fd-be3a-06faf3b3b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40544-73d5-4558-adf0-e711f89352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b19fe-e77a-44b7-82e2-4d1ba221bbe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aa29d8e-5bb0-4e32-9770-5d0ab4a7123c}" ma:internalName="TaxCatchAll" ma:showField="CatchAllData" ma:web="a3fb19fe-e77a-44b7-82e2-4d1ba221bb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4E282-E216-445D-B1DB-89D263267F64}">
  <ds:schemaRefs>
    <ds:schemaRef ds:uri="http://schemas.microsoft.com/office/2006/metadata/properties"/>
    <ds:schemaRef ds:uri="http://schemas.microsoft.com/office/infopath/2007/PartnerControls"/>
    <ds:schemaRef ds:uri="a3fb19fe-e77a-44b7-82e2-4d1ba221bbee"/>
    <ds:schemaRef ds:uri="b866ded3-d4a1-42fd-be3a-06faf3b3b38f"/>
  </ds:schemaRefs>
</ds:datastoreItem>
</file>

<file path=customXml/itemProps2.xml><?xml version="1.0" encoding="utf-8"?>
<ds:datastoreItem xmlns:ds="http://schemas.openxmlformats.org/officeDocument/2006/customXml" ds:itemID="{85FB46DE-4516-401C-8B63-DF78E13DF130}">
  <ds:schemaRefs>
    <ds:schemaRef ds:uri="http://schemas.microsoft.com/sharepoint/v3/contenttype/forms"/>
  </ds:schemaRefs>
</ds:datastoreItem>
</file>

<file path=customXml/itemProps3.xml><?xml version="1.0" encoding="utf-8"?>
<ds:datastoreItem xmlns:ds="http://schemas.openxmlformats.org/officeDocument/2006/customXml" ds:itemID="{75865CE8-954A-4087-BA66-D15FBD16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6ded3-d4a1-42fd-be3a-06faf3b3b38f"/>
    <ds:schemaRef ds:uri="a3fb19fe-e77a-44b7-82e2-4d1ba221b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Guthrie</dc:creator>
  <cp:keywords/>
  <dc:description/>
  <cp:lastModifiedBy>Cameron Jones</cp:lastModifiedBy>
  <cp:revision>9</cp:revision>
  <cp:lastPrinted>2023-10-05T15:35:00Z</cp:lastPrinted>
  <dcterms:created xsi:type="dcterms:W3CDTF">2024-10-29T11:22:00Z</dcterms:created>
  <dcterms:modified xsi:type="dcterms:W3CDTF">2024-10-29T11:52:00Z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0x010100514032AAFC068548B405352FF09A5134</vt:lpwstr>
  </property>
  <property fmtid="{D5CDD505-2E9C-101B-9397-08002B2CF9AE}" pid="3" name="MediaServiceImageTags">
    <vt:lpwstr/>
  </property>
  <property fmtid="{D5CDD505-2E9C-101B-9397-08002B2CF9AE}" pid="4" name="Order">
    <vt:r8>49127900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